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  <w:r w:rsidRPr="00245298">
        <w:rPr>
          <w:b/>
          <w:bCs/>
          <w:lang w:bidi="cs-CZ"/>
        </w:rPr>
        <w:t xml:space="preserve">Sako stejnokrojové </w:t>
      </w:r>
      <w:r w:rsidR="00A301DB">
        <w:rPr>
          <w:b/>
          <w:bCs/>
          <w:lang w:bidi="cs-CZ"/>
        </w:rPr>
        <w:t>pánské</w:t>
      </w:r>
      <w:r w:rsidRPr="00245298">
        <w:rPr>
          <w:b/>
          <w:bCs/>
          <w:lang w:bidi="cs-CZ"/>
        </w:rPr>
        <w:t xml:space="preserve"> </w:t>
      </w:r>
      <w:r w:rsidR="00F57699" w:rsidRPr="005A270F">
        <w:rPr>
          <w:lang w:bidi="cs-CZ"/>
        </w:rPr>
        <w:t xml:space="preserve">(dále jen </w:t>
      </w:r>
      <w:r w:rsidR="00F57699">
        <w:rPr>
          <w:lang w:bidi="cs-CZ"/>
        </w:rPr>
        <w:t>sako</w:t>
      </w:r>
      <w:r w:rsidR="00F57699" w:rsidRPr="005A270F">
        <w:rPr>
          <w:lang w:bidi="cs-CZ"/>
        </w:rPr>
        <w:t>)</w:t>
      </w:r>
      <w:r w:rsidR="00F57699">
        <w:rPr>
          <w:b/>
          <w:bCs/>
          <w:lang w:bidi="cs-CZ"/>
        </w:rPr>
        <w:t xml:space="preserve"> </w:t>
      </w:r>
      <w:r w:rsidR="00F57699">
        <w:rPr>
          <w:lang w:bidi="cs-CZ"/>
        </w:rPr>
        <w:t>je celoroční oděvní součástkou pro horní část těla stejnokroje</w:t>
      </w:r>
      <w:r w:rsidR="00F57699" w:rsidRPr="00245298">
        <w:rPr>
          <w:lang w:bidi="cs-CZ"/>
        </w:rPr>
        <w:t xml:space="preserve"> Správ</w:t>
      </w:r>
      <w:r w:rsidR="00F57699">
        <w:rPr>
          <w:lang w:bidi="cs-CZ"/>
        </w:rPr>
        <w:t>y</w:t>
      </w:r>
      <w:r w:rsidR="00F57699" w:rsidRPr="00245298">
        <w:rPr>
          <w:lang w:bidi="cs-CZ"/>
        </w:rPr>
        <w:t xml:space="preserve"> železniční do</w:t>
      </w:r>
      <w:r w:rsidR="00F57699">
        <w:rPr>
          <w:lang w:bidi="cs-CZ"/>
        </w:rPr>
        <w:t>pravní cesty (dále jen SŽDC) pro muže.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8702F6" w:rsidRPr="00406037" w:rsidRDefault="00406037" w:rsidP="00406037">
      <w:pPr>
        <w:spacing w:after="0" w:line="276" w:lineRule="auto"/>
        <w:jc w:val="both"/>
        <w:rPr>
          <w:lang w:bidi="cs-CZ"/>
        </w:rPr>
      </w:pPr>
      <w:r w:rsidRPr="00406037">
        <w:rPr>
          <w:lang w:bidi="cs-CZ"/>
        </w:rPr>
        <w:t xml:space="preserve">Pánské jednořadové celopodšité </w:t>
      </w:r>
      <w:r w:rsidR="008702F6">
        <w:rPr>
          <w:lang w:bidi="cs-CZ"/>
        </w:rPr>
        <w:t xml:space="preserve">sako, zapínané na dva knoflíky. Přední díly s odděleným bočním dílem. </w:t>
      </w:r>
      <w:r w:rsidRPr="00406037">
        <w:rPr>
          <w:lang w:bidi="cs-CZ"/>
        </w:rPr>
        <w:t>Na přední</w:t>
      </w:r>
      <w:r w:rsidR="008702F6">
        <w:rPr>
          <w:lang w:bidi="cs-CZ"/>
        </w:rPr>
        <w:t>ch</w:t>
      </w:r>
      <w:r w:rsidRPr="00406037">
        <w:rPr>
          <w:lang w:bidi="cs-CZ"/>
        </w:rPr>
        <w:t xml:space="preserve"> díle</w:t>
      </w:r>
      <w:r w:rsidR="008702F6">
        <w:rPr>
          <w:lang w:bidi="cs-CZ"/>
        </w:rPr>
        <w:t>ch jsou jednovýpustkové šikmé</w:t>
      </w:r>
      <w:r w:rsidRPr="00406037">
        <w:rPr>
          <w:lang w:bidi="cs-CZ"/>
        </w:rPr>
        <w:t xml:space="preserve"> boční kapsy s</w:t>
      </w:r>
      <w:r w:rsidR="008702F6">
        <w:rPr>
          <w:lang w:bidi="cs-CZ"/>
        </w:rPr>
        <w:t> patkami zdobenými reflexní</w:t>
      </w:r>
      <w:r w:rsidR="00143588">
        <w:rPr>
          <w:lang w:bidi="cs-CZ"/>
        </w:rPr>
        <w:t>m</w:t>
      </w:r>
      <w:r w:rsidR="008702F6">
        <w:rPr>
          <w:lang w:bidi="cs-CZ"/>
        </w:rPr>
        <w:t xml:space="preserve"> výpustkem,</w:t>
      </w:r>
      <w:r w:rsidRPr="00406037">
        <w:rPr>
          <w:lang w:bidi="cs-CZ"/>
        </w:rPr>
        <w:t xml:space="preserve"> </w:t>
      </w:r>
      <w:r w:rsidR="008702F6">
        <w:rPr>
          <w:lang w:bidi="cs-CZ"/>
        </w:rPr>
        <w:t>na levém předním díle</w:t>
      </w:r>
      <w:r w:rsidR="008702F6" w:rsidRPr="00DE783E">
        <w:rPr>
          <w:lang w:bidi="cs-CZ"/>
        </w:rPr>
        <w:t xml:space="preserve"> </w:t>
      </w:r>
      <w:r w:rsidR="008702F6">
        <w:rPr>
          <w:lang w:bidi="cs-CZ"/>
        </w:rPr>
        <w:t xml:space="preserve">náprsní </w:t>
      </w:r>
      <w:r w:rsidR="008702F6" w:rsidRPr="00DE783E">
        <w:rPr>
          <w:lang w:bidi="cs-CZ"/>
        </w:rPr>
        <w:t>lištová kapsa</w:t>
      </w:r>
      <w:r w:rsidR="008702F6">
        <w:rPr>
          <w:lang w:bidi="cs-CZ"/>
        </w:rPr>
        <w:t>,</w:t>
      </w:r>
      <w:r w:rsidR="008702F6" w:rsidRPr="00DE783E">
        <w:rPr>
          <w:lang w:bidi="cs-CZ"/>
        </w:rPr>
        <w:t xml:space="preserve"> </w:t>
      </w:r>
      <w:r w:rsidR="008702F6">
        <w:rPr>
          <w:lang w:bidi="cs-CZ"/>
        </w:rPr>
        <w:t>n</w:t>
      </w:r>
      <w:r w:rsidR="008702F6" w:rsidRPr="00DE783E">
        <w:rPr>
          <w:lang w:bidi="cs-CZ"/>
        </w:rPr>
        <w:t xml:space="preserve">ad lištou středem </w:t>
      </w:r>
      <w:r w:rsidR="008702F6">
        <w:rPr>
          <w:lang w:bidi="cs-CZ"/>
        </w:rPr>
        <w:t xml:space="preserve">kapsy </w:t>
      </w:r>
      <w:r w:rsidR="008702F6" w:rsidRPr="00DE783E">
        <w:rPr>
          <w:lang w:bidi="cs-CZ"/>
        </w:rPr>
        <w:t xml:space="preserve">je umístěná výšivka. </w:t>
      </w:r>
      <w:r w:rsidRPr="00406037">
        <w:rPr>
          <w:lang w:bidi="cs-CZ"/>
        </w:rPr>
        <w:t xml:space="preserve">Dolní okraje předních krajů </w:t>
      </w:r>
      <w:r w:rsidR="008702F6">
        <w:rPr>
          <w:lang w:bidi="cs-CZ"/>
        </w:rPr>
        <w:t>tvarovaný do kulata.</w:t>
      </w:r>
      <w:r w:rsidRPr="00406037">
        <w:rPr>
          <w:lang w:bidi="cs-CZ"/>
        </w:rPr>
        <w:t xml:space="preserve"> </w:t>
      </w:r>
      <w:r w:rsidR="004766B9" w:rsidRPr="00406037">
        <w:rPr>
          <w:lang w:bidi="cs-CZ"/>
        </w:rPr>
        <w:t>V levé klopě vyšitá ozdobná, neprostřižená dírka.</w:t>
      </w:r>
      <w:r w:rsidR="004766B9">
        <w:rPr>
          <w:lang w:bidi="cs-CZ"/>
        </w:rPr>
        <w:t xml:space="preserve"> </w:t>
      </w:r>
      <w:r w:rsidRPr="00406037">
        <w:rPr>
          <w:lang w:bidi="cs-CZ"/>
        </w:rPr>
        <w:t>Zadní díl se středovým švem</w:t>
      </w:r>
      <w:r w:rsidR="008702F6">
        <w:rPr>
          <w:lang w:bidi="cs-CZ"/>
        </w:rPr>
        <w:t xml:space="preserve">, ve kterém je v dolní části zhotovený </w:t>
      </w:r>
      <w:r w:rsidRPr="00406037">
        <w:rPr>
          <w:lang w:bidi="cs-CZ"/>
        </w:rPr>
        <w:t> </w:t>
      </w:r>
      <w:r w:rsidR="004766B9">
        <w:rPr>
          <w:lang w:bidi="cs-CZ"/>
        </w:rPr>
        <w:t>podkrytový levostranný rozpar</w:t>
      </w:r>
      <w:r w:rsidRPr="00406037">
        <w:rPr>
          <w:lang w:bidi="cs-CZ"/>
        </w:rPr>
        <w:t>e</w:t>
      </w:r>
      <w:r w:rsidR="004766B9">
        <w:rPr>
          <w:lang w:bidi="cs-CZ"/>
        </w:rPr>
        <w:t>k</w:t>
      </w:r>
      <w:r w:rsidRPr="00406037">
        <w:rPr>
          <w:lang w:bidi="cs-CZ"/>
        </w:rPr>
        <w:t xml:space="preserve">. </w:t>
      </w:r>
      <w:r w:rsidR="004766B9" w:rsidRPr="00DE783E">
        <w:rPr>
          <w:lang w:bidi="cs-CZ"/>
        </w:rPr>
        <w:t xml:space="preserve">Rukávy dvoudílné </w:t>
      </w:r>
      <w:r w:rsidR="004766B9">
        <w:rPr>
          <w:lang w:bidi="cs-CZ"/>
        </w:rPr>
        <w:t xml:space="preserve">hlavicové v dolním </w:t>
      </w:r>
      <w:r w:rsidR="004766B9" w:rsidRPr="00DE783E">
        <w:rPr>
          <w:lang w:bidi="cs-CZ"/>
        </w:rPr>
        <w:t>kraji</w:t>
      </w:r>
      <w:r w:rsidR="004766B9">
        <w:rPr>
          <w:lang w:bidi="cs-CZ"/>
        </w:rPr>
        <w:t xml:space="preserve"> v loketních švech jsou zhotovené rukávové rozparky. Spodní límec plstěný, vrchní límec z vrchového materiálu s odděleným stojákem.</w:t>
      </w:r>
    </w:p>
    <w:p w:rsidR="00406037" w:rsidRDefault="00406037" w:rsidP="00406037">
      <w:pPr>
        <w:spacing w:after="0" w:line="276" w:lineRule="auto"/>
        <w:jc w:val="both"/>
        <w:rPr>
          <w:b/>
          <w:lang w:bidi="cs-CZ"/>
        </w:rPr>
      </w:pPr>
    </w:p>
    <w:p w:rsidR="00406037" w:rsidRPr="00406037" w:rsidRDefault="00406037" w:rsidP="00406037">
      <w:pPr>
        <w:spacing w:after="0" w:line="276" w:lineRule="auto"/>
        <w:jc w:val="both"/>
        <w:rPr>
          <w:lang w:bidi="cs-CZ"/>
        </w:rPr>
      </w:pPr>
      <w:r w:rsidRPr="00406037">
        <w:rPr>
          <w:b/>
          <w:lang w:bidi="cs-CZ"/>
        </w:rPr>
        <w:t>Přední díl</w:t>
      </w:r>
      <w:r w:rsidR="004766B9">
        <w:rPr>
          <w:b/>
          <w:lang w:bidi="cs-CZ"/>
        </w:rPr>
        <w:t>y</w:t>
      </w:r>
      <w:r w:rsidRPr="00406037">
        <w:rPr>
          <w:b/>
          <w:lang w:bidi="cs-CZ"/>
        </w:rPr>
        <w:t>:</w:t>
      </w:r>
      <w:r w:rsidRPr="00406037">
        <w:rPr>
          <w:lang w:bidi="cs-CZ"/>
        </w:rPr>
        <w:t xml:space="preserve"> </w:t>
      </w:r>
    </w:p>
    <w:p w:rsidR="004766B9" w:rsidRPr="00406037" w:rsidRDefault="00406037" w:rsidP="00406037">
      <w:pPr>
        <w:spacing w:after="0" w:line="276" w:lineRule="auto"/>
        <w:jc w:val="both"/>
        <w:rPr>
          <w:lang w:bidi="cs-CZ"/>
        </w:rPr>
      </w:pPr>
      <w:r w:rsidRPr="00406037">
        <w:rPr>
          <w:lang w:bidi="cs-CZ"/>
        </w:rPr>
        <w:t>S</w:t>
      </w:r>
      <w:r w:rsidR="004766B9">
        <w:rPr>
          <w:lang w:bidi="cs-CZ"/>
        </w:rPr>
        <w:t xml:space="preserve"> odděleným bočními díly, tvarované záševky vedenými z kapesních průstřihů. </w:t>
      </w:r>
      <w:r w:rsidRPr="00406037">
        <w:rPr>
          <w:lang w:bidi="cs-CZ"/>
        </w:rPr>
        <w:t>Přední kraje předšité</w:t>
      </w:r>
      <w:r>
        <w:rPr>
          <w:lang w:bidi="cs-CZ"/>
        </w:rPr>
        <w:t xml:space="preserve"> </w:t>
      </w:r>
      <w:r w:rsidRPr="00406037">
        <w:rPr>
          <w:lang w:bidi="cs-CZ"/>
        </w:rPr>
        <w:t>krajovou podsádkou,</w:t>
      </w:r>
      <w:r w:rsidR="004766B9" w:rsidRPr="004766B9">
        <w:rPr>
          <w:lang w:bidi="cs-CZ"/>
        </w:rPr>
        <w:t xml:space="preserve"> </w:t>
      </w:r>
      <w:r w:rsidR="004766B9" w:rsidRPr="00406037">
        <w:rPr>
          <w:lang w:bidi="cs-CZ"/>
        </w:rPr>
        <w:t>v dol</w:t>
      </w:r>
      <w:r w:rsidR="004766B9">
        <w:rPr>
          <w:lang w:bidi="cs-CZ"/>
        </w:rPr>
        <w:t xml:space="preserve">ním okraji zakončený kulatinou. Na </w:t>
      </w:r>
      <w:r w:rsidR="00F456A3">
        <w:rPr>
          <w:lang w:bidi="cs-CZ"/>
        </w:rPr>
        <w:t>levém</w:t>
      </w:r>
      <w:r w:rsidR="004766B9">
        <w:rPr>
          <w:lang w:bidi="cs-CZ"/>
        </w:rPr>
        <w:t xml:space="preserve"> předním díle 18mm od kraje jsou vyšité dvě konfekční knoflíkové dírky</w:t>
      </w:r>
      <w:r w:rsidR="00F456A3">
        <w:rPr>
          <w:lang w:bidi="cs-CZ"/>
        </w:rPr>
        <w:t>, proti kterým jsou na pravém předním díle přišité knoflíky.</w:t>
      </w:r>
    </w:p>
    <w:p w:rsidR="00406037" w:rsidRPr="00406037" w:rsidRDefault="00406037" w:rsidP="00406037">
      <w:pPr>
        <w:spacing w:after="0" w:line="276" w:lineRule="auto"/>
        <w:jc w:val="both"/>
        <w:rPr>
          <w:lang w:bidi="cs-CZ"/>
        </w:rPr>
      </w:pPr>
    </w:p>
    <w:p w:rsidR="00406037" w:rsidRDefault="00406037" w:rsidP="00406037">
      <w:pPr>
        <w:spacing w:after="0" w:line="276" w:lineRule="auto"/>
        <w:jc w:val="both"/>
        <w:rPr>
          <w:b/>
          <w:lang w:bidi="cs-CZ"/>
        </w:rPr>
      </w:pPr>
      <w:r w:rsidRPr="00406037">
        <w:rPr>
          <w:b/>
          <w:lang w:bidi="cs-CZ"/>
        </w:rPr>
        <w:t>Náprsní kapsa:</w:t>
      </w:r>
    </w:p>
    <w:p w:rsidR="00F456A3" w:rsidRPr="00DE783E" w:rsidRDefault="00F456A3" w:rsidP="00F456A3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Na levém předním</w:t>
      </w:r>
      <w:r>
        <w:rPr>
          <w:lang w:bidi="cs-CZ"/>
        </w:rPr>
        <w:t xml:space="preserve"> díle je umístěna lištová kapsa</w:t>
      </w:r>
      <w:r w:rsidRPr="00DE783E">
        <w:rPr>
          <w:lang w:bidi="cs-CZ"/>
        </w:rPr>
        <w:t xml:space="preserve"> dlouhá</w:t>
      </w:r>
      <w:r>
        <w:rPr>
          <w:lang w:bidi="cs-CZ"/>
        </w:rPr>
        <w:t xml:space="preserve"> 11 cm, šíře lišty 20</w:t>
      </w:r>
      <w:r w:rsidRPr="00DE783E">
        <w:rPr>
          <w:lang w:bidi="cs-CZ"/>
        </w:rPr>
        <w:t xml:space="preserve">mm, </w:t>
      </w:r>
      <w:r>
        <w:rPr>
          <w:lang w:bidi="cs-CZ"/>
        </w:rPr>
        <w:t xml:space="preserve">boční strany </w:t>
      </w:r>
      <w:r w:rsidRPr="00DE783E">
        <w:rPr>
          <w:lang w:bidi="cs-CZ"/>
        </w:rPr>
        <w:t>lišt</w:t>
      </w:r>
      <w:r>
        <w:rPr>
          <w:lang w:bidi="cs-CZ"/>
        </w:rPr>
        <w:t>y</w:t>
      </w:r>
      <w:r w:rsidRPr="00DE783E">
        <w:rPr>
          <w:lang w:bidi="cs-CZ"/>
        </w:rPr>
        <w:t xml:space="preserve"> přišit</w:t>
      </w:r>
      <w:r>
        <w:rPr>
          <w:lang w:bidi="cs-CZ"/>
        </w:rPr>
        <w:t xml:space="preserve">é na stroji s klikatým stehem </w:t>
      </w:r>
      <w:r w:rsidRPr="00DE783E">
        <w:rPr>
          <w:lang w:bidi="cs-CZ"/>
        </w:rPr>
        <w:t>„cik-cak“.</w:t>
      </w:r>
      <w:r>
        <w:rPr>
          <w:lang w:bidi="cs-CZ"/>
        </w:rPr>
        <w:t xml:space="preserve"> Podkladová p</w:t>
      </w:r>
      <w:r w:rsidRPr="00DE783E">
        <w:rPr>
          <w:lang w:bidi="cs-CZ"/>
        </w:rPr>
        <w:t xml:space="preserve">odsádka z vrchového materiálu, </w:t>
      </w:r>
      <w:r>
        <w:rPr>
          <w:lang w:bidi="cs-CZ"/>
        </w:rPr>
        <w:t>k</w:t>
      </w:r>
      <w:r w:rsidRPr="00406037">
        <w:rPr>
          <w:lang w:bidi="cs-CZ"/>
        </w:rPr>
        <w:t>apesní váček z</w:t>
      </w:r>
      <w:r>
        <w:rPr>
          <w:lang w:bidi="cs-CZ"/>
        </w:rPr>
        <w:t> </w:t>
      </w:r>
      <w:r w:rsidRPr="00406037">
        <w:rPr>
          <w:lang w:bidi="cs-CZ"/>
        </w:rPr>
        <w:t>kapsoviny</w:t>
      </w:r>
      <w:r>
        <w:rPr>
          <w:lang w:bidi="cs-CZ"/>
        </w:rPr>
        <w:t>, hotová</w:t>
      </w:r>
      <w:r w:rsidRPr="00406037">
        <w:rPr>
          <w:lang w:bidi="cs-CZ"/>
        </w:rPr>
        <w:t xml:space="preserve"> délka</w:t>
      </w:r>
      <w:r>
        <w:rPr>
          <w:lang w:bidi="cs-CZ"/>
        </w:rPr>
        <w:t xml:space="preserve"> váčku</w:t>
      </w:r>
      <w:r w:rsidRPr="00406037">
        <w:rPr>
          <w:lang w:bidi="cs-CZ"/>
        </w:rPr>
        <w:t xml:space="preserve"> při</w:t>
      </w:r>
      <w:r>
        <w:rPr>
          <w:lang w:bidi="cs-CZ"/>
        </w:rPr>
        <w:t>z</w:t>
      </w:r>
      <w:r w:rsidRPr="00406037">
        <w:rPr>
          <w:lang w:bidi="cs-CZ"/>
        </w:rPr>
        <w:t xml:space="preserve">působená </w:t>
      </w:r>
      <w:r>
        <w:rPr>
          <w:lang w:bidi="cs-CZ"/>
        </w:rPr>
        <w:t xml:space="preserve">pro možnost vložení psacích potřeb. </w:t>
      </w:r>
      <w:r w:rsidRPr="00DE783E">
        <w:rPr>
          <w:lang w:bidi="cs-CZ"/>
        </w:rPr>
        <w:t xml:space="preserve">Nad lištu </w:t>
      </w:r>
      <w:r>
        <w:rPr>
          <w:lang w:bidi="cs-CZ"/>
        </w:rPr>
        <w:t xml:space="preserve">středem </w:t>
      </w:r>
      <w:r w:rsidRPr="00DE783E">
        <w:rPr>
          <w:lang w:bidi="cs-CZ"/>
        </w:rPr>
        <w:t xml:space="preserve">kapsy je </w:t>
      </w:r>
      <w:r>
        <w:rPr>
          <w:lang w:bidi="cs-CZ"/>
        </w:rPr>
        <w:t>vy</w:t>
      </w:r>
      <w:r w:rsidRPr="00DE783E">
        <w:rPr>
          <w:lang w:bidi="cs-CZ"/>
        </w:rPr>
        <w:t>ši</w:t>
      </w:r>
      <w:r>
        <w:rPr>
          <w:lang w:bidi="cs-CZ"/>
        </w:rPr>
        <w:t>té logo</w:t>
      </w:r>
      <w:r w:rsidRPr="00DE783E">
        <w:rPr>
          <w:lang w:bidi="cs-CZ"/>
        </w:rPr>
        <w:t xml:space="preserve"> SŽDC.</w:t>
      </w: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  <w:r w:rsidRPr="00406037">
        <w:rPr>
          <w:b/>
          <w:lang w:bidi="cs-CZ"/>
        </w:rPr>
        <w:t>Boční kapsy:</w:t>
      </w:r>
    </w:p>
    <w:p w:rsidR="00F456A3" w:rsidRPr="00406037" w:rsidRDefault="00F456A3" w:rsidP="00406037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Šikmé j</w:t>
      </w:r>
      <w:r w:rsidR="00406037" w:rsidRPr="00406037">
        <w:rPr>
          <w:lang w:bidi="cs-CZ"/>
        </w:rPr>
        <w:t>ednovýpustkové</w:t>
      </w:r>
      <w:r>
        <w:rPr>
          <w:lang w:bidi="cs-CZ"/>
        </w:rPr>
        <w:t xml:space="preserve"> s</w:t>
      </w:r>
      <w:r w:rsidR="00AB118D">
        <w:rPr>
          <w:lang w:bidi="cs-CZ"/>
        </w:rPr>
        <w:t> </w:t>
      </w:r>
      <w:r>
        <w:rPr>
          <w:lang w:bidi="cs-CZ"/>
        </w:rPr>
        <w:t>patkou</w:t>
      </w:r>
      <w:r w:rsidR="00AB118D">
        <w:rPr>
          <w:lang w:bidi="cs-CZ"/>
        </w:rPr>
        <w:t>,</w:t>
      </w:r>
      <w:r w:rsidRPr="00F456A3">
        <w:rPr>
          <w:lang w:bidi="cs-CZ"/>
        </w:rPr>
        <w:t xml:space="preserve"> </w:t>
      </w:r>
      <w:r>
        <w:rPr>
          <w:lang w:bidi="cs-CZ"/>
        </w:rPr>
        <w:t>šíře hotových výpustků 10mm, délka kapesního otvoru 17cm</w:t>
      </w:r>
      <w:r w:rsidRPr="00F41B6B">
        <w:rPr>
          <w:lang w:bidi="cs-CZ"/>
        </w:rPr>
        <w:t>. Kaps</w:t>
      </w:r>
      <w:r>
        <w:rPr>
          <w:lang w:bidi="cs-CZ"/>
        </w:rPr>
        <w:t>y jsou zhotovené 15mm</w:t>
      </w:r>
      <w:r w:rsidRPr="00F41B6B">
        <w:rPr>
          <w:lang w:bidi="cs-CZ"/>
        </w:rPr>
        <w:t xml:space="preserve"> před prsní</w:t>
      </w:r>
      <w:r>
        <w:rPr>
          <w:lang w:bidi="cs-CZ"/>
        </w:rPr>
        <w:t>mi</w:t>
      </w:r>
      <w:r w:rsidRPr="00F41B6B">
        <w:rPr>
          <w:lang w:bidi="cs-CZ"/>
        </w:rPr>
        <w:t xml:space="preserve"> zášev</w:t>
      </w:r>
      <w:r>
        <w:rPr>
          <w:lang w:bidi="cs-CZ"/>
        </w:rPr>
        <w:t>ky</w:t>
      </w:r>
      <w:r w:rsidRPr="00F41B6B">
        <w:rPr>
          <w:lang w:bidi="cs-CZ"/>
        </w:rPr>
        <w:t>.</w:t>
      </w:r>
      <w:r w:rsidRPr="00F456A3">
        <w:rPr>
          <w:lang w:bidi="cs-CZ"/>
        </w:rPr>
        <w:t xml:space="preserve"> </w:t>
      </w:r>
      <w:r w:rsidRPr="00F41B6B">
        <w:rPr>
          <w:lang w:bidi="cs-CZ"/>
        </w:rPr>
        <w:t>Patk</w:t>
      </w:r>
      <w:r>
        <w:rPr>
          <w:lang w:bidi="cs-CZ"/>
        </w:rPr>
        <w:t>y jsou tvarované, předšité podšívkou</w:t>
      </w:r>
      <w:r w:rsidRPr="00F41B6B">
        <w:rPr>
          <w:lang w:bidi="cs-CZ"/>
        </w:rPr>
        <w:t>, do švu předš</w:t>
      </w:r>
      <w:r>
        <w:rPr>
          <w:lang w:bidi="cs-CZ"/>
        </w:rPr>
        <w:t>ití je vložená reflexní paspule, šíře patky 55 mm (včetně paspule). Kapsy jsou prošité</w:t>
      </w:r>
      <w:r w:rsidR="00AB118D" w:rsidRPr="00AB118D">
        <w:rPr>
          <w:lang w:bidi="cs-CZ"/>
        </w:rPr>
        <w:t xml:space="preserve"> </w:t>
      </w:r>
      <w:r w:rsidR="00AB118D">
        <w:rPr>
          <w:lang w:bidi="cs-CZ"/>
        </w:rPr>
        <w:t>za 1mm, rožky kapes jsou zajištěné uzávěrkami zhotovenými na závorovacím šicím stroji. Výpustkové podsádky z vrchového materiálu, podkladové podsádky k podšívky, kapesní váčky z kapsoviny.</w:t>
      </w:r>
    </w:p>
    <w:p w:rsidR="00406037" w:rsidRPr="00406037" w:rsidRDefault="00406037" w:rsidP="00406037">
      <w:pPr>
        <w:spacing w:after="0" w:line="276" w:lineRule="auto"/>
        <w:jc w:val="both"/>
        <w:rPr>
          <w:lang w:bidi="cs-CZ"/>
        </w:rPr>
      </w:pP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  <w:r w:rsidRPr="00406037">
        <w:rPr>
          <w:b/>
          <w:lang w:bidi="cs-CZ"/>
        </w:rPr>
        <w:t>Zadní díl:</w:t>
      </w:r>
    </w:p>
    <w:p w:rsidR="00406037" w:rsidRPr="00406037" w:rsidRDefault="00AB118D" w:rsidP="00406037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Se středovým švem, ve středovém švu v dolním kraji je zhotovený levostranný podkrytový rozparek. Rozparek prošitý šikmo</w:t>
      </w:r>
      <w:r w:rsidR="004C6595">
        <w:rPr>
          <w:lang w:bidi="cs-CZ"/>
        </w:rPr>
        <w:t xml:space="preserve"> do hloubky 5 cm, p</w:t>
      </w:r>
      <w:r w:rsidR="004C6595" w:rsidRPr="00406037">
        <w:rPr>
          <w:lang w:bidi="cs-CZ"/>
        </w:rPr>
        <w:t xml:space="preserve">odkrytová strana </w:t>
      </w:r>
      <w:r w:rsidR="004C6595">
        <w:rPr>
          <w:lang w:bidi="cs-CZ"/>
        </w:rPr>
        <w:t>rozparku prošitá za 1mm.</w:t>
      </w:r>
      <w:r w:rsidR="00406037" w:rsidRPr="00406037">
        <w:rPr>
          <w:lang w:bidi="cs-CZ"/>
        </w:rPr>
        <w:t xml:space="preserve"> Závěsné poutko z polotovaru.</w:t>
      </w:r>
    </w:p>
    <w:p w:rsidR="00406037" w:rsidRPr="00406037" w:rsidRDefault="00406037" w:rsidP="00406037">
      <w:pPr>
        <w:spacing w:after="0" w:line="276" w:lineRule="auto"/>
        <w:jc w:val="both"/>
        <w:rPr>
          <w:lang w:bidi="cs-CZ"/>
        </w:rPr>
      </w:pPr>
    </w:p>
    <w:p w:rsidR="00406037" w:rsidRPr="00406037" w:rsidRDefault="00AB118D" w:rsidP="00406037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Límec</w:t>
      </w:r>
      <w:r w:rsidR="00406037" w:rsidRPr="00406037">
        <w:rPr>
          <w:b/>
          <w:lang w:bidi="cs-CZ"/>
        </w:rPr>
        <w:t>:</w:t>
      </w:r>
    </w:p>
    <w:p w:rsidR="00406037" w:rsidRPr="00406037" w:rsidRDefault="00AB118D" w:rsidP="00406037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Vrchní límec</w:t>
      </w:r>
      <w:r w:rsidR="00406037" w:rsidRPr="00406037">
        <w:rPr>
          <w:lang w:bidi="cs-CZ"/>
        </w:rPr>
        <w:t xml:space="preserve"> z vrchového materiálu</w:t>
      </w:r>
      <w:r>
        <w:rPr>
          <w:lang w:bidi="cs-CZ"/>
        </w:rPr>
        <w:t xml:space="preserve"> s odděleným stojákem</w:t>
      </w:r>
      <w:r w:rsidR="00406037" w:rsidRPr="00406037">
        <w:rPr>
          <w:lang w:bidi="cs-CZ"/>
        </w:rPr>
        <w:t xml:space="preserve">, spodní límec </w:t>
      </w:r>
      <w:r w:rsidR="00200473">
        <w:rPr>
          <w:lang w:bidi="cs-CZ"/>
        </w:rPr>
        <w:t>plstěný všitý do průkrčníku na stroji s klikatým stehem</w:t>
      </w:r>
      <w:r w:rsidR="00406037" w:rsidRPr="00406037">
        <w:rPr>
          <w:lang w:bidi="cs-CZ"/>
        </w:rPr>
        <w:t xml:space="preserve"> „cik-cak“</w:t>
      </w:r>
      <w:r w:rsidR="00200473">
        <w:rPr>
          <w:lang w:bidi="cs-CZ"/>
        </w:rPr>
        <w:t>, délka rožku límce a klopy 32 m</w:t>
      </w:r>
      <w:r w:rsidR="00406037" w:rsidRPr="00406037">
        <w:rPr>
          <w:lang w:bidi="cs-CZ"/>
        </w:rPr>
        <w:t xml:space="preserve">m. </w:t>
      </w:r>
    </w:p>
    <w:p w:rsidR="003C30A6" w:rsidRDefault="003C30A6" w:rsidP="00406037">
      <w:pPr>
        <w:spacing w:after="0" w:line="276" w:lineRule="auto"/>
        <w:jc w:val="both"/>
        <w:rPr>
          <w:b/>
          <w:lang w:bidi="cs-CZ"/>
        </w:rPr>
      </w:pPr>
    </w:p>
    <w:p w:rsidR="00D724E3" w:rsidRDefault="00D724E3" w:rsidP="00406037">
      <w:pPr>
        <w:spacing w:after="0" w:line="276" w:lineRule="auto"/>
        <w:jc w:val="both"/>
        <w:rPr>
          <w:b/>
          <w:lang w:bidi="cs-CZ"/>
        </w:rPr>
      </w:pPr>
    </w:p>
    <w:p w:rsidR="00D724E3" w:rsidRDefault="00D724E3" w:rsidP="00406037">
      <w:pPr>
        <w:spacing w:after="0" w:line="276" w:lineRule="auto"/>
        <w:jc w:val="both"/>
        <w:rPr>
          <w:b/>
          <w:lang w:bidi="cs-CZ"/>
        </w:rPr>
      </w:pPr>
    </w:p>
    <w:p w:rsidR="00D724E3" w:rsidRDefault="00D724E3" w:rsidP="00406037">
      <w:pPr>
        <w:spacing w:after="0" w:line="276" w:lineRule="auto"/>
        <w:jc w:val="both"/>
        <w:rPr>
          <w:b/>
          <w:lang w:bidi="cs-CZ"/>
        </w:rPr>
      </w:pPr>
    </w:p>
    <w:p w:rsidR="00406037" w:rsidRDefault="00406037" w:rsidP="00406037">
      <w:pPr>
        <w:spacing w:after="0" w:line="276" w:lineRule="auto"/>
        <w:jc w:val="both"/>
        <w:rPr>
          <w:lang w:bidi="cs-CZ"/>
        </w:rPr>
      </w:pPr>
      <w:r w:rsidRPr="00406037">
        <w:rPr>
          <w:b/>
          <w:lang w:bidi="cs-CZ"/>
        </w:rPr>
        <w:lastRenderedPageBreak/>
        <w:t>Rukávy</w:t>
      </w:r>
      <w:r w:rsidRPr="00406037">
        <w:rPr>
          <w:lang w:bidi="cs-CZ"/>
        </w:rPr>
        <w:t>:</w:t>
      </w:r>
    </w:p>
    <w:p w:rsidR="00200473" w:rsidRPr="00DE783E" w:rsidRDefault="00200473" w:rsidP="00200473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Dvoudílné hlavicové, v loketní</w:t>
      </w:r>
      <w:r>
        <w:rPr>
          <w:lang w:bidi="cs-CZ"/>
        </w:rPr>
        <w:t>ch</w:t>
      </w:r>
      <w:r w:rsidRPr="00DE783E">
        <w:rPr>
          <w:lang w:bidi="cs-CZ"/>
        </w:rPr>
        <w:t xml:space="preserve"> šv</w:t>
      </w:r>
      <w:r>
        <w:rPr>
          <w:lang w:bidi="cs-CZ"/>
        </w:rPr>
        <w:t>ech dolního kraje</w:t>
      </w:r>
      <w:r w:rsidRPr="00DE783E">
        <w:rPr>
          <w:lang w:bidi="cs-CZ"/>
        </w:rPr>
        <w:t xml:space="preserve"> j</w:t>
      </w:r>
      <w:r>
        <w:rPr>
          <w:lang w:bidi="cs-CZ"/>
        </w:rPr>
        <w:t xml:space="preserve">sou zhotovené rukávové rozparky </w:t>
      </w:r>
      <w:r w:rsidRPr="00DE783E">
        <w:rPr>
          <w:lang w:bidi="cs-CZ"/>
        </w:rPr>
        <w:t xml:space="preserve">se </w:t>
      </w:r>
      <w:r>
        <w:rPr>
          <w:lang w:bidi="cs-CZ"/>
        </w:rPr>
        <w:t xml:space="preserve">čtyřmi </w:t>
      </w:r>
      <w:r w:rsidRPr="00DE783E">
        <w:rPr>
          <w:lang w:bidi="cs-CZ"/>
        </w:rPr>
        <w:t>vyšitými neproseknutými dírkami</w:t>
      </w:r>
      <w:r>
        <w:rPr>
          <w:lang w:bidi="cs-CZ"/>
        </w:rPr>
        <w:t xml:space="preserve">, přes které jsou přišité </w:t>
      </w:r>
      <w:r w:rsidRPr="00DE783E">
        <w:rPr>
          <w:lang w:bidi="cs-CZ"/>
        </w:rPr>
        <w:t xml:space="preserve">knoflíky. Záložka </w:t>
      </w:r>
      <w:r>
        <w:rPr>
          <w:lang w:bidi="cs-CZ"/>
        </w:rPr>
        <w:t>dolního kraje rukávu</w:t>
      </w:r>
      <w:r w:rsidRPr="00DE783E">
        <w:rPr>
          <w:lang w:bidi="cs-CZ"/>
        </w:rPr>
        <w:t xml:space="preserve"> 40mm, v dolním kraji </w:t>
      </w:r>
      <w:r>
        <w:rPr>
          <w:lang w:bidi="cs-CZ"/>
        </w:rPr>
        <w:t>podšívkových rukávu je složený záhyb.</w:t>
      </w: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  <w:r w:rsidRPr="00406037">
        <w:rPr>
          <w:b/>
          <w:lang w:bidi="cs-CZ"/>
        </w:rPr>
        <w:t>Dolní okraj saka:</w:t>
      </w:r>
    </w:p>
    <w:p w:rsidR="00200473" w:rsidRPr="00DE783E" w:rsidRDefault="00200473" w:rsidP="00200473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 xml:space="preserve">Záložka </w:t>
      </w:r>
      <w:r>
        <w:rPr>
          <w:lang w:bidi="cs-CZ"/>
        </w:rPr>
        <w:t>dolního kraje saka 40mm.</w:t>
      </w:r>
    </w:p>
    <w:p w:rsidR="00406037" w:rsidRPr="00406037" w:rsidRDefault="00406037" w:rsidP="00406037">
      <w:pPr>
        <w:spacing w:after="0" w:line="276" w:lineRule="auto"/>
        <w:jc w:val="both"/>
        <w:rPr>
          <w:b/>
          <w:lang w:bidi="cs-CZ"/>
        </w:rPr>
      </w:pPr>
    </w:p>
    <w:p w:rsidR="00406037" w:rsidRPr="00406037" w:rsidRDefault="004C6595" w:rsidP="00406037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Podšívka</w:t>
      </w:r>
      <w:r w:rsidR="00406037" w:rsidRPr="00406037">
        <w:rPr>
          <w:b/>
          <w:lang w:bidi="cs-CZ"/>
        </w:rPr>
        <w:t>:</w:t>
      </w:r>
    </w:p>
    <w:p w:rsidR="00200473" w:rsidRPr="00406037" w:rsidRDefault="00406037" w:rsidP="00406037">
      <w:pPr>
        <w:spacing w:after="0" w:line="276" w:lineRule="auto"/>
        <w:jc w:val="both"/>
        <w:rPr>
          <w:lang w:bidi="cs-CZ"/>
        </w:rPr>
      </w:pPr>
      <w:r w:rsidRPr="00406037">
        <w:rPr>
          <w:lang w:bidi="cs-CZ"/>
        </w:rPr>
        <w:t>Celopodšité s</w:t>
      </w:r>
      <w:r w:rsidR="00200473">
        <w:rPr>
          <w:lang w:bidi="cs-CZ"/>
        </w:rPr>
        <w:t xml:space="preserve">ako, podšívka je do celého saka všitá strojem. </w:t>
      </w:r>
      <w:r w:rsidRPr="00406037">
        <w:rPr>
          <w:lang w:bidi="cs-CZ"/>
        </w:rPr>
        <w:t xml:space="preserve">Krajové podsádky </w:t>
      </w:r>
      <w:r w:rsidR="00200473">
        <w:rPr>
          <w:lang w:bidi="cs-CZ"/>
        </w:rPr>
        <w:t xml:space="preserve">jsou </w:t>
      </w:r>
      <w:r w:rsidRPr="00406037">
        <w:rPr>
          <w:lang w:bidi="cs-CZ"/>
        </w:rPr>
        <w:t>s přinechan</w:t>
      </w:r>
      <w:r w:rsidR="00200473">
        <w:rPr>
          <w:lang w:bidi="cs-CZ"/>
        </w:rPr>
        <w:t>ými</w:t>
      </w:r>
      <w:r w:rsidRPr="00406037">
        <w:rPr>
          <w:lang w:bidi="cs-CZ"/>
        </w:rPr>
        <w:t xml:space="preserve"> jazykov</w:t>
      </w:r>
      <w:r w:rsidR="00200473">
        <w:rPr>
          <w:lang w:bidi="cs-CZ"/>
        </w:rPr>
        <w:t>ými</w:t>
      </w:r>
      <w:r w:rsidRPr="00406037">
        <w:rPr>
          <w:lang w:bidi="cs-CZ"/>
        </w:rPr>
        <w:t xml:space="preserve"> podsádk</w:t>
      </w:r>
      <w:r w:rsidR="00200473">
        <w:rPr>
          <w:lang w:bidi="cs-CZ"/>
        </w:rPr>
        <w:t>ami</w:t>
      </w:r>
      <w:r w:rsidRPr="00406037">
        <w:rPr>
          <w:lang w:bidi="cs-CZ"/>
        </w:rPr>
        <w:t xml:space="preserve">, ve které je </w:t>
      </w:r>
      <w:r w:rsidR="00200473">
        <w:rPr>
          <w:lang w:bidi="cs-CZ"/>
        </w:rPr>
        <w:t>zhotoveno po jedné</w:t>
      </w:r>
      <w:r w:rsidRPr="00406037">
        <w:rPr>
          <w:lang w:bidi="cs-CZ"/>
        </w:rPr>
        <w:t xml:space="preserve"> dvouvýpustkov</w:t>
      </w:r>
      <w:r w:rsidR="00200473">
        <w:rPr>
          <w:lang w:bidi="cs-CZ"/>
        </w:rPr>
        <w:t>é</w:t>
      </w:r>
      <w:r w:rsidRPr="00406037">
        <w:rPr>
          <w:lang w:bidi="cs-CZ"/>
        </w:rPr>
        <w:t xml:space="preserve"> kaps</w:t>
      </w:r>
      <w:r w:rsidR="00200473">
        <w:rPr>
          <w:lang w:bidi="cs-CZ"/>
        </w:rPr>
        <w:t>e dlouhé</w:t>
      </w:r>
      <w:r w:rsidRPr="00406037">
        <w:rPr>
          <w:lang w:bidi="cs-CZ"/>
        </w:rPr>
        <w:t xml:space="preserve"> 14,5 cm, šíře výpustků 0,5 cm, po bočních stranách zajištěná uzávěrkami. Výpustko</w:t>
      </w:r>
      <w:r w:rsidR="00200473">
        <w:rPr>
          <w:lang w:bidi="cs-CZ"/>
        </w:rPr>
        <w:t>vé</w:t>
      </w:r>
      <w:r w:rsidR="00347EF0">
        <w:rPr>
          <w:lang w:bidi="cs-CZ"/>
        </w:rPr>
        <w:t xml:space="preserve"> a podkladové </w:t>
      </w:r>
      <w:r w:rsidRPr="00406037">
        <w:rPr>
          <w:lang w:bidi="cs-CZ"/>
        </w:rPr>
        <w:t>podsádk</w:t>
      </w:r>
      <w:r w:rsidR="00200473">
        <w:rPr>
          <w:lang w:bidi="cs-CZ"/>
        </w:rPr>
        <w:t>y</w:t>
      </w:r>
      <w:r w:rsidRPr="00406037">
        <w:rPr>
          <w:lang w:bidi="cs-CZ"/>
        </w:rPr>
        <w:t xml:space="preserve"> z vrchového materiálu, kapesní váč</w:t>
      </w:r>
      <w:r w:rsidR="00347EF0">
        <w:rPr>
          <w:lang w:bidi="cs-CZ"/>
        </w:rPr>
        <w:t>ky</w:t>
      </w:r>
      <w:r w:rsidRPr="00406037">
        <w:rPr>
          <w:lang w:bidi="cs-CZ"/>
        </w:rPr>
        <w:t xml:space="preserve"> z</w:t>
      </w:r>
      <w:r w:rsidR="00347EF0">
        <w:rPr>
          <w:lang w:bidi="cs-CZ"/>
        </w:rPr>
        <w:t> </w:t>
      </w:r>
      <w:r w:rsidRPr="00406037">
        <w:rPr>
          <w:lang w:bidi="cs-CZ"/>
        </w:rPr>
        <w:t>kapsovi</w:t>
      </w:r>
      <w:r w:rsidR="00347EF0">
        <w:rPr>
          <w:lang w:bidi="cs-CZ"/>
        </w:rPr>
        <w:t>ny,</w:t>
      </w:r>
      <w:r>
        <w:rPr>
          <w:lang w:bidi="cs-CZ"/>
        </w:rPr>
        <w:t xml:space="preserve"> </w:t>
      </w:r>
      <w:r w:rsidR="00347EF0">
        <w:rPr>
          <w:lang w:bidi="cs-CZ"/>
        </w:rPr>
        <w:t xml:space="preserve">rožky kapes jsou zajištěné uzávěrkou zhotovenou na závorovacím šicím stroji. </w:t>
      </w:r>
      <w:r w:rsidR="004C6595">
        <w:rPr>
          <w:lang w:bidi="cs-CZ"/>
        </w:rPr>
        <w:t xml:space="preserve">Ve středu podšívkového zadního dílu složený záhyb odšitý z průkrčníku </w:t>
      </w:r>
      <w:r w:rsidR="003C30A6">
        <w:rPr>
          <w:lang w:bidi="cs-CZ"/>
        </w:rPr>
        <w:br/>
      </w:r>
      <w:r w:rsidR="004C6595">
        <w:rPr>
          <w:lang w:bidi="cs-CZ"/>
        </w:rPr>
        <w:t>do hloubky 7 cm. Etiketa s ošetřovacími symboly</w:t>
      </w:r>
      <w:r w:rsidR="004C6595" w:rsidRPr="00DE783E">
        <w:rPr>
          <w:lang w:bidi="cs-CZ"/>
        </w:rPr>
        <w:t xml:space="preserve"> je</w:t>
      </w:r>
      <w:r w:rsidR="004C6595">
        <w:rPr>
          <w:lang w:bidi="cs-CZ"/>
        </w:rPr>
        <w:t xml:space="preserve"> všitá</w:t>
      </w:r>
      <w:r w:rsidR="004C6595" w:rsidRPr="00DE783E">
        <w:rPr>
          <w:lang w:bidi="cs-CZ"/>
        </w:rPr>
        <w:t xml:space="preserve"> do švu sešití kapesního váčku</w:t>
      </w:r>
      <w:r w:rsidR="004C6595">
        <w:rPr>
          <w:lang w:bidi="cs-CZ"/>
        </w:rPr>
        <w:t xml:space="preserve"> levé vnitřní kapsy</w:t>
      </w:r>
      <w:r w:rsidR="004C6595" w:rsidRPr="00DE783E">
        <w:rPr>
          <w:lang w:bidi="cs-CZ"/>
        </w:rPr>
        <w:t>, směrem k přednímu kraji.</w:t>
      </w:r>
      <w:r w:rsidR="004C6595">
        <w:rPr>
          <w:lang w:bidi="cs-CZ"/>
        </w:rPr>
        <w:t xml:space="preserve"> </w:t>
      </w:r>
      <w:r w:rsidR="009F55F8">
        <w:rPr>
          <w:lang w:bidi="cs-CZ"/>
        </w:rPr>
        <w:t>Tkaná e</w:t>
      </w:r>
      <w:r w:rsidR="009F55F8" w:rsidRPr="00DE783E">
        <w:rPr>
          <w:lang w:bidi="cs-CZ"/>
        </w:rPr>
        <w:t xml:space="preserve">tiketa výrobce </w:t>
      </w:r>
      <w:r w:rsidR="009F55F8">
        <w:rPr>
          <w:lang w:bidi="cs-CZ"/>
        </w:rPr>
        <w:t>našitá</w:t>
      </w:r>
      <w:r w:rsidR="009F55F8" w:rsidRPr="00DE783E">
        <w:rPr>
          <w:lang w:bidi="cs-CZ"/>
        </w:rPr>
        <w:t xml:space="preserve"> na </w:t>
      </w:r>
      <w:r w:rsidR="009F55F8">
        <w:rPr>
          <w:lang w:bidi="cs-CZ"/>
        </w:rPr>
        <w:t>spodním části levého podšívkového dílu.</w:t>
      </w:r>
    </w:p>
    <w:p w:rsidR="00406037" w:rsidRPr="00406037" w:rsidRDefault="00406037" w:rsidP="00406037">
      <w:pPr>
        <w:spacing w:after="0" w:line="276" w:lineRule="auto"/>
        <w:jc w:val="both"/>
        <w:rPr>
          <w:lang w:bidi="cs-CZ"/>
        </w:rPr>
      </w:pPr>
    </w:p>
    <w:p w:rsidR="00406037" w:rsidRPr="00406037" w:rsidRDefault="009F55F8" w:rsidP="00406037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F</w:t>
      </w:r>
      <w:r w:rsidR="00406037" w:rsidRPr="00406037">
        <w:rPr>
          <w:b/>
          <w:lang w:bidi="cs-CZ"/>
        </w:rPr>
        <w:t>ixační materiál:</w:t>
      </w:r>
    </w:p>
    <w:p w:rsidR="00406037" w:rsidRPr="00406037" w:rsidRDefault="00406037" w:rsidP="00406037">
      <w:pPr>
        <w:numPr>
          <w:ilvl w:val="0"/>
          <w:numId w:val="13"/>
        </w:numPr>
        <w:spacing w:after="0" w:line="276" w:lineRule="auto"/>
        <w:jc w:val="both"/>
        <w:rPr>
          <w:lang w:bidi="cs-CZ"/>
        </w:rPr>
      </w:pPr>
      <w:r w:rsidRPr="00406037">
        <w:rPr>
          <w:lang w:bidi="cs-CZ"/>
        </w:rPr>
        <w:t xml:space="preserve">tkaná fixační vložka, </w:t>
      </w:r>
    </w:p>
    <w:p w:rsidR="00406037" w:rsidRPr="00406037" w:rsidRDefault="00406037" w:rsidP="00406037">
      <w:pPr>
        <w:numPr>
          <w:ilvl w:val="0"/>
          <w:numId w:val="13"/>
        </w:numPr>
        <w:spacing w:after="0" w:line="276" w:lineRule="auto"/>
        <w:jc w:val="both"/>
        <w:rPr>
          <w:lang w:bidi="cs-CZ"/>
        </w:rPr>
      </w:pPr>
      <w:r w:rsidRPr="00406037">
        <w:rPr>
          <w:lang w:bidi="cs-CZ"/>
        </w:rPr>
        <w:t xml:space="preserve">netkaná fixační vložka, </w:t>
      </w:r>
    </w:p>
    <w:p w:rsidR="00406037" w:rsidRDefault="009F55F8" w:rsidP="00406037">
      <w:pPr>
        <w:numPr>
          <w:ilvl w:val="0"/>
          <w:numId w:val="13"/>
        </w:num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 2x</w:t>
      </w:r>
      <w:r w:rsidR="00406037" w:rsidRPr="00406037">
        <w:rPr>
          <w:lang w:bidi="cs-CZ"/>
        </w:rPr>
        <w:t xml:space="preserve"> </w:t>
      </w:r>
      <w:r>
        <w:rPr>
          <w:lang w:bidi="cs-CZ"/>
        </w:rPr>
        <w:t xml:space="preserve"> prsní plak z žíněného plátna</w:t>
      </w:r>
      <w:r w:rsidR="00406037" w:rsidRPr="00406037">
        <w:rPr>
          <w:lang w:bidi="cs-CZ"/>
        </w:rPr>
        <w:t xml:space="preserve">, 1x </w:t>
      </w:r>
      <w:r>
        <w:rPr>
          <w:lang w:bidi="cs-CZ"/>
        </w:rPr>
        <w:t>krytí žíněnky/</w:t>
      </w:r>
      <w:r w:rsidR="00406037" w:rsidRPr="00406037">
        <w:rPr>
          <w:lang w:bidi="cs-CZ"/>
        </w:rPr>
        <w:t>sakon</w:t>
      </w:r>
      <w:r>
        <w:rPr>
          <w:lang w:bidi="cs-CZ"/>
        </w:rPr>
        <w:t>,</w:t>
      </w:r>
    </w:p>
    <w:p w:rsidR="009F55F8" w:rsidRPr="00406037" w:rsidRDefault="009F55F8" w:rsidP="003C30A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Místa fixace přizpůsobit charakteru oděvu a materiálu.</w:t>
      </w:r>
    </w:p>
    <w:p w:rsidR="00406037" w:rsidRDefault="00406037" w:rsidP="00406037">
      <w:pPr>
        <w:spacing w:after="0" w:line="276" w:lineRule="auto"/>
        <w:jc w:val="both"/>
        <w:rPr>
          <w:lang w:bidi="cs-CZ"/>
        </w:rPr>
      </w:pPr>
    </w:p>
    <w:p w:rsidR="00A80A5D" w:rsidRPr="00AE7D50" w:rsidRDefault="00A80A5D" w:rsidP="00A80A5D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 xml:space="preserve">není-li specifikováno </w:t>
      </w:r>
      <w:r w:rsidR="003C30A6">
        <w:rPr>
          <w:bCs/>
          <w:lang w:bidi="cs-CZ"/>
        </w:rPr>
        <w:br/>
      </w:r>
      <w:r w:rsidRPr="00AE7D50">
        <w:rPr>
          <w:bCs/>
          <w:lang w:bidi="cs-CZ"/>
        </w:rPr>
        <w:t>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A80A5D" w:rsidRPr="00406037" w:rsidRDefault="00A80A5D" w:rsidP="00406037">
      <w:pPr>
        <w:spacing w:after="0" w:line="276" w:lineRule="auto"/>
        <w:jc w:val="both"/>
        <w:rPr>
          <w:lang w:bidi="cs-CZ"/>
        </w:rPr>
      </w:pPr>
    </w:p>
    <w:p w:rsidR="00DE783E" w:rsidRPr="009F55F8" w:rsidRDefault="00245298" w:rsidP="009F55F8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DE783E" w:rsidRPr="00DE783E" w:rsidRDefault="00DE783E" w:rsidP="00DE783E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bCs/>
          <w:lang w:bidi="cs-CZ"/>
        </w:rPr>
      </w:pPr>
      <w:r w:rsidRPr="00DE783E">
        <w:rPr>
          <w:bCs/>
          <w:lang w:bidi="cs-CZ"/>
        </w:rPr>
        <w:t>počet stehů strojového šití a prošití je 5 +/- 1steh na 10mm, stehy musí být pravidelné bez vynechání, napětí rovnoměrné, začátky, konce šití a více namáhaná místa musí být řádně zapošitá 10mm dlouhým šitím proti párání a proti vytržení,</w:t>
      </w:r>
    </w:p>
    <w:p w:rsidR="00DE783E" w:rsidRPr="00DE783E" w:rsidRDefault="00DE783E" w:rsidP="00DE783E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bCs/>
          <w:lang w:bidi="cs-CZ"/>
        </w:rPr>
      </w:pPr>
      <w:r w:rsidRPr="00DE783E">
        <w:rPr>
          <w:bCs/>
          <w:lang w:bidi="cs-CZ"/>
        </w:rPr>
        <w:t>konce stehů musí být na celém výrobku řádně odstřižené,</w:t>
      </w:r>
    </w:p>
    <w:p w:rsidR="00D960CB" w:rsidRDefault="00D960CB" w:rsidP="00245298">
      <w:pPr>
        <w:spacing w:after="0" w:line="276" w:lineRule="auto"/>
        <w:ind w:left="720"/>
        <w:rPr>
          <w:bCs/>
          <w:lang w:bidi="cs-CZ"/>
        </w:rPr>
      </w:pPr>
    </w:p>
    <w:p w:rsid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D960CB" w:rsidRPr="00245298" w:rsidRDefault="00D960CB" w:rsidP="00D960C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507BF" w:rsidRPr="00245298" w:rsidRDefault="002507BF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51% vlna/ 46% polyester/ 3% elastan</w:t>
            </w:r>
          </w:p>
        </w:tc>
      </w:tr>
      <w:tr w:rsidR="00245298" w:rsidRPr="00245298" w:rsidTr="008C2C34">
        <w:trPr>
          <w:trHeight w:val="841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507BF" w:rsidRPr="002507BF" w:rsidRDefault="002507BF" w:rsidP="002507BF">
            <w:pPr>
              <w:spacing w:after="0"/>
              <w:rPr>
                <w:b/>
                <w:lang w:bidi="cs-CZ"/>
              </w:rPr>
            </w:pPr>
            <w:r w:rsidRPr="002507BF">
              <w:rPr>
                <w:b/>
                <w:lang w:bidi="cs-CZ"/>
              </w:rPr>
              <w:lastRenderedPageBreak/>
              <w:t>paspulka</w:t>
            </w:r>
          </w:p>
          <w:p w:rsidR="002507BF" w:rsidRPr="002507BF" w:rsidRDefault="002507BF" w:rsidP="002507BF">
            <w:pPr>
              <w:spacing w:after="0"/>
              <w:rPr>
                <w:lang w:bidi="cs-CZ"/>
              </w:rPr>
            </w:pPr>
            <w:r w:rsidRPr="002507BF">
              <w:rPr>
                <w:lang w:bidi="cs-CZ"/>
              </w:rPr>
              <w:t>textilní podklad s přerušovaným retroreflexním potiskem</w:t>
            </w:r>
          </w:p>
          <w:p w:rsidR="00E06A51" w:rsidRPr="00245298" w:rsidRDefault="002507BF" w:rsidP="002507BF">
            <w:pPr>
              <w:spacing w:after="0"/>
              <w:rPr>
                <w:lang w:bidi="cs-CZ"/>
              </w:rPr>
            </w:pPr>
            <w:r w:rsidRPr="002507BF">
              <w:rPr>
                <w:lang w:bidi="cs-CZ"/>
              </w:rPr>
              <w:object w:dxaOrig="144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2pt" o:ole="">
                  <v:imagedata r:id="rId7" o:title=""/>
                </v:shape>
                <o:OLEObject Type="Embed" ProgID="PBrush" ShapeID="_x0000_i1025" DrawAspect="Content" ObjectID="_1626595454" r:id="rId8"/>
              </w:objec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507BF" w:rsidRPr="002507BF" w:rsidRDefault="002507BF" w:rsidP="002507BF">
            <w:pPr>
              <w:spacing w:after="0"/>
              <w:rPr>
                <w:lang w:bidi="cs-CZ"/>
              </w:rPr>
            </w:pPr>
            <w:r w:rsidRPr="002507BF">
              <w:rPr>
                <w:lang w:bidi="cs-CZ"/>
              </w:rPr>
              <w:t>textilní podklad:</w:t>
            </w:r>
          </w:p>
          <w:p w:rsidR="00245298" w:rsidRDefault="002507BF" w:rsidP="002507BF">
            <w:pPr>
              <w:spacing w:after="0"/>
              <w:rPr>
                <w:lang w:bidi="cs-CZ"/>
              </w:rPr>
            </w:pPr>
            <w:r w:rsidRPr="002507BF">
              <w:rPr>
                <w:lang w:bidi="cs-CZ"/>
              </w:rPr>
              <w:t>51% vlna/ 46% polyester/ 3% elastan</w:t>
            </w:r>
          </w:p>
          <w:p w:rsidR="002507BF" w:rsidRPr="00245298" w:rsidRDefault="002507BF" w:rsidP="002507BF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+ retroreflexní tisk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podšívka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černá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hmotnost 70 ± 5 </w:t>
            </w:r>
            <w:r w:rsidR="00937ED8" w:rsidRPr="00245298">
              <w:rPr>
                <w:lang w:bidi="cs-CZ"/>
              </w:rPr>
              <w:t>g.m</w:t>
            </w:r>
            <w:r w:rsidR="00937ED8"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1D68E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1D68E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pro knoflíkové dírky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1D68E7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lang w:bidi="cs-CZ"/>
              </w:rPr>
            </w:pPr>
            <w:r>
              <w:rPr>
                <w:b/>
                <w:lang w:bidi="cs-CZ"/>
              </w:rPr>
              <w:t>k</w:t>
            </w:r>
            <w:r w:rsidRPr="00245298">
              <w:rPr>
                <w:b/>
                <w:lang w:bidi="cs-CZ"/>
              </w:rPr>
              <w:t>noflíky</w:t>
            </w:r>
            <w:r>
              <w:rPr>
                <w:b/>
                <w:lang w:bidi="cs-CZ"/>
              </w:rPr>
              <w:t xml:space="preserve"> </w:t>
            </w:r>
            <w:r w:rsidRPr="00245298">
              <w:rPr>
                <w:lang w:bidi="cs-CZ"/>
              </w:rPr>
              <w:t>vel 32“ + 24“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1D68E7" w:rsidRPr="00245298" w:rsidRDefault="001D68E7" w:rsidP="001D68E7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 tkaná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 netkaná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žíněnka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Pr="00245298" w:rsidRDefault="002133FA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sakon/ krytí žíněnky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plsť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proužky 10mm, 15mm, 20mm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ramenní vložky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rukávové výplně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rypsové poutko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  <w:tr w:rsidR="009F55F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9F55F8" w:rsidRDefault="009F55F8" w:rsidP="009F55F8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9F55F8" w:rsidRPr="00245298" w:rsidRDefault="009F55F8" w:rsidP="009F55F8">
            <w:pPr>
              <w:spacing w:after="0"/>
              <w:rPr>
                <w:lang w:bidi="cs-CZ"/>
              </w:rPr>
            </w:pPr>
          </w:p>
        </w:tc>
      </w:tr>
    </w:tbl>
    <w:p w:rsidR="00245298" w:rsidRDefault="00245298" w:rsidP="002125AB">
      <w:pPr>
        <w:spacing w:after="0" w:line="240" w:lineRule="auto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8C2C34">
        <w:rPr>
          <w:b/>
          <w:lang w:bidi="cs-CZ"/>
        </w:rPr>
        <w:t>Vrchový materiál:</w:t>
      </w:r>
    </w:p>
    <w:p w:rsidR="00D724E3" w:rsidRDefault="00D724E3" w:rsidP="002125AB">
      <w:pPr>
        <w:spacing w:after="0"/>
        <w:rPr>
          <w:b/>
          <w:lang w:bidi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D724E3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Zkušební metoda, norma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Hodnota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Materiálové složení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D724E3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3% elastan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Barva dle trichromatických </w:t>
            </w:r>
          </w:p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souřadnic CieLab</w:t>
            </w:r>
          </w:p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Barva: Tmavomodrá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ISO 105-J01</w:t>
            </w:r>
          </w:p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20105-A02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D724E3" w:rsidRPr="00245298" w:rsidRDefault="00D724E3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L= 16,08</w:t>
            </w:r>
          </w:p>
          <w:p w:rsidR="00D724E3" w:rsidRPr="00245298" w:rsidRDefault="00D724E3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a= 0,70</w:t>
            </w:r>
          </w:p>
          <w:p w:rsidR="00D724E3" w:rsidRPr="00245298" w:rsidRDefault="00D724E3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b= -4,74</w:t>
            </w:r>
          </w:p>
          <w:p w:rsidR="00D724E3" w:rsidRPr="00245298" w:rsidRDefault="00D724E3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povolená barevná odchylka</w:t>
            </w:r>
          </w:p>
          <w:p w:rsidR="00D724E3" w:rsidRPr="00245298" w:rsidRDefault="00D724E3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stupeň 4 šedé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Úprava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D724E3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NANO </w:t>
            </w:r>
            <w:r>
              <w:rPr>
                <w:lang w:bidi="cs-CZ"/>
              </w:rPr>
              <w:t>–</w:t>
            </w:r>
            <w:r w:rsidRPr="00245298">
              <w:rPr>
                <w:lang w:bidi="cs-CZ"/>
              </w:rPr>
              <w:t xml:space="preserve"> nešpinivá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(odpuzující vodu</w:t>
            </w:r>
            <w:r>
              <w:rPr>
                <w:lang w:bidi="cs-CZ"/>
              </w:rPr>
              <w:t xml:space="preserve"> </w:t>
            </w:r>
            <w:r w:rsidRPr="00245298">
              <w:rPr>
                <w:lang w:bidi="cs-CZ"/>
              </w:rPr>
              <w:t>a nečistoty)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Vazba 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plátnová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Plošná hmotnost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12127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175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 xml:space="preserve"> ± 5%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Pevnost v dotržení </w:t>
            </w:r>
          </w:p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podélně / příčně 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13937-2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85160A">
              <w:rPr>
                <w:lang w:bidi="cs-CZ"/>
              </w:rPr>
              <w:t>22</w:t>
            </w:r>
            <w:r w:rsidRPr="00245298">
              <w:rPr>
                <w:lang w:bidi="cs-CZ"/>
              </w:rPr>
              <w:t>/</w:t>
            </w:r>
            <w:r w:rsidR="0085160A">
              <w:rPr>
                <w:lang w:bidi="cs-CZ"/>
              </w:rPr>
              <w:t>2</w:t>
            </w:r>
            <w:r w:rsidRPr="00245298">
              <w:rPr>
                <w:lang w:bidi="cs-CZ"/>
              </w:rPr>
              <w:t>2 N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v oděru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12947-2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85160A">
              <w:rPr>
                <w:lang w:bidi="cs-CZ"/>
              </w:rPr>
              <w:t>5</w:t>
            </w:r>
            <w:r w:rsidRPr="00245298">
              <w:rPr>
                <w:lang w:bidi="cs-CZ"/>
              </w:rPr>
              <w:t>5 000 otáček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Odolnost proti žmolkování</w:t>
            </w:r>
            <w:r>
              <w:rPr>
                <w:lang w:bidi="cs-CZ"/>
              </w:rPr>
              <w:t xml:space="preserve"> min.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12945-2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7000 otáček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5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Změna rozměrů smáčením</w:t>
            </w:r>
            <w:r>
              <w:rPr>
                <w:lang w:bidi="cs-CZ"/>
              </w:rPr>
              <w:t xml:space="preserve"> max.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PNs 47451963/025/80/98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-0,5/-0,5 %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na světle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105 B02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461C75">
              <w:rPr>
                <w:lang w:bidi="cs-CZ"/>
              </w:rPr>
              <w:t>5</w:t>
            </w:r>
            <w:bookmarkStart w:id="4" w:name="_GoBack"/>
            <w:bookmarkEnd w:id="4"/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modré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otěru</w:t>
            </w:r>
          </w:p>
          <w:p w:rsidR="00D724E3" w:rsidRPr="00245298" w:rsidRDefault="00D724E3" w:rsidP="00B2232C">
            <w:pPr>
              <w:numPr>
                <w:ilvl w:val="0"/>
                <w:numId w:val="11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za sucha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105-X12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4-5/4-5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potu</w:t>
            </w:r>
          </w:p>
          <w:p w:rsidR="00D724E3" w:rsidRPr="00245298" w:rsidRDefault="00D724E3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kyselém</w:t>
            </w:r>
          </w:p>
          <w:p w:rsidR="00D724E3" w:rsidRPr="00245298" w:rsidRDefault="00D724E3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alkalickém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105-E04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85160A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85160A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Stálobarevnost ve vodě 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105-E01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85160A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chem. čištění</w:t>
            </w:r>
          </w:p>
        </w:tc>
        <w:tc>
          <w:tcPr>
            <w:tcW w:w="2922" w:type="dxa"/>
            <w:vAlign w:val="center"/>
          </w:tcPr>
          <w:p w:rsidR="00D724E3" w:rsidRPr="00245298" w:rsidRDefault="00D724E3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105-D01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85160A" w:rsidRPr="00245298">
              <w:rPr>
                <w:lang w:bidi="cs-CZ"/>
              </w:rPr>
              <w:t>5/4-5/</w:t>
            </w:r>
            <w:r w:rsidR="0085160A">
              <w:rPr>
                <w:lang w:bidi="cs-CZ"/>
              </w:rPr>
              <w:t>4-</w:t>
            </w:r>
            <w:r w:rsidR="0085160A" w:rsidRPr="00245298">
              <w:rPr>
                <w:lang w:bidi="cs-CZ"/>
              </w:rPr>
              <w:t>5</w:t>
            </w:r>
          </w:p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 xml:space="preserve">Obsah volného formaldehydu 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14184-1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D724E3" w:rsidRPr="00245298" w:rsidRDefault="00D724E3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max. 75 mg/kg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Hodnota pH volného výluhu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3071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D724E3" w:rsidRPr="00245298" w:rsidRDefault="00D724E3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4,5 - 7,5</w:t>
            </w:r>
          </w:p>
        </w:tc>
      </w:tr>
      <w:tr w:rsidR="00D724E3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bCs/>
                <w:lang w:val="cs"/>
              </w:rPr>
            </w:pPr>
            <w:r w:rsidRPr="00245298">
              <w:rPr>
                <w:bCs/>
                <w:lang w:val="cs"/>
              </w:rPr>
              <w:t>Symboly údržby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D724E3" w:rsidRPr="00245298" w:rsidRDefault="00D724E3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ISO 3758</w:t>
            </w:r>
          </w:p>
        </w:tc>
        <w:tc>
          <w:tcPr>
            <w:tcW w:w="3018" w:type="dxa"/>
            <w:vAlign w:val="center"/>
          </w:tcPr>
          <w:p w:rsidR="00D724E3" w:rsidRPr="00245298" w:rsidRDefault="00D724E3" w:rsidP="00B2232C">
            <w:pPr>
              <w:jc w:val="center"/>
              <w:rPr>
                <w:lang w:bidi="cs-CZ"/>
              </w:rPr>
            </w:pPr>
            <w:r>
              <w:object w:dxaOrig="2550" w:dyaOrig="465">
                <v:shape id="_x0000_i1026" type="#_x0000_t75" style="width:113.25pt;height:21pt" o:ole="">
                  <v:imagedata r:id="rId9" o:title=""/>
                </v:shape>
                <o:OLEObject Type="Embed" ProgID="PBrush" ShapeID="_x0000_i1026" DrawAspect="Content" ObjectID="_1626595455" r:id="rId10"/>
              </w:object>
            </w:r>
          </w:p>
        </w:tc>
      </w:tr>
    </w:tbl>
    <w:p w:rsidR="00D724E3" w:rsidRPr="008C2C34" w:rsidRDefault="00D724E3" w:rsidP="002125AB">
      <w:pPr>
        <w:spacing w:after="0"/>
        <w:rPr>
          <w:b/>
          <w:lang w:bidi="cs-CZ"/>
        </w:rPr>
      </w:pPr>
    </w:p>
    <w:p w:rsidR="002125AB" w:rsidRPr="008C2C34" w:rsidRDefault="002125AB" w:rsidP="002125AB">
      <w:pPr>
        <w:spacing w:after="0" w:line="276" w:lineRule="auto"/>
        <w:rPr>
          <w:b/>
          <w:lang w:bidi="cs-CZ"/>
        </w:rPr>
      </w:pPr>
      <w:r w:rsidRPr="008C2C34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70 ± 5 </w:t>
            </w:r>
            <w:r w:rsidRPr="003452FF">
              <w:rPr>
                <w:lang w:val="cs" w:bidi="cs-CZ"/>
              </w:rPr>
              <w:t>g.m</w:t>
            </w:r>
            <w:r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105-E04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Stálobarevnost v otěru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105-X12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105-X12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žmolkování,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D724E3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25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2125AB" w:rsidRDefault="002125AB" w:rsidP="003452FF">
      <w:pPr>
        <w:spacing w:after="0" w:line="276" w:lineRule="auto"/>
        <w:jc w:val="both"/>
        <w:rPr>
          <w:lang w:bidi="cs-CZ"/>
        </w:rPr>
      </w:pP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 xml:space="preserve">symboly údržby podle ČSN EN ISO 3758 musí být doloženy materiálovým listem. Na materiálovém listu bude uvedeno datum vyhotovení a bude opatřen razítkem a podpisem uchazeče. V případě, že </w:t>
      </w:r>
      <w:r w:rsidRPr="00245298">
        <w:rPr>
          <w:lang w:bidi="cs-CZ"/>
        </w:rPr>
        <w:lastRenderedPageBreak/>
        <w:t>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D960CB">
        <w:rPr>
          <w:b/>
          <w:bCs/>
          <w:lang w:bidi="cs-CZ"/>
        </w:rPr>
        <w:t xml:space="preserve"> </w:t>
      </w:r>
      <w:r w:rsidR="00D960CB" w:rsidRPr="00D960CB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Pr="00245298">
        <w:rPr>
          <w:bCs/>
          <w:lang w:bidi="cs-CZ"/>
        </w:rPr>
        <w:t>umístěná do švu sešití kapesního váčku</w:t>
      </w:r>
      <w:r w:rsidR="00EB30B3">
        <w:rPr>
          <w:bCs/>
          <w:lang w:bidi="cs-CZ"/>
        </w:rPr>
        <w:t xml:space="preserve"> levé </w:t>
      </w:r>
      <w:r w:rsidRPr="00245298">
        <w:rPr>
          <w:bCs/>
          <w:lang w:bidi="cs-CZ"/>
        </w:rPr>
        <w:t>vnitřní kapsy, směrem k přednímu kraji cca 3cm od kapesního průhmatu.</w:t>
      </w:r>
    </w:p>
    <w:p w:rsidR="00EB30B3" w:rsidRPr="00245298" w:rsidRDefault="00EB30B3" w:rsidP="003452FF">
      <w:pPr>
        <w:spacing w:after="0" w:line="276" w:lineRule="auto"/>
        <w:jc w:val="both"/>
        <w:rPr>
          <w:bCs/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>, která je umístěna na levém rukávu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Default="00460892" w:rsidP="003452FF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Společně s papírovou visačkou je na splintu připevněn sáček s náhradními knoflíky.</w:t>
      </w:r>
    </w:p>
    <w:p w:rsidR="00460892" w:rsidRPr="00245298" w:rsidRDefault="00460892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D724E3" w:rsidRDefault="00D724E3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1E5792" w:rsidRDefault="0092700C" w:rsidP="0092700C">
      <w:pPr>
        <w:spacing w:after="0" w:line="276" w:lineRule="auto"/>
        <w:jc w:val="both"/>
        <w:rPr>
          <w:lang w:bidi="cs-CZ"/>
        </w:r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lastRenderedPageBreak/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</w:pPr>
    </w:p>
    <w:p w:rsidR="001E5792" w:rsidRDefault="001E5792" w:rsidP="0092700C">
      <w:pPr>
        <w:spacing w:after="0" w:line="276" w:lineRule="auto"/>
        <w:jc w:val="both"/>
        <w:rPr>
          <w:lang w:bidi="cs-CZ"/>
        </w:rPr>
        <w:sectPr w:rsidR="001E5792" w:rsidSect="00D724E3">
          <w:headerReference w:type="default" r:id="rId11"/>
          <w:pgSz w:w="11900" w:h="16840"/>
          <w:pgMar w:top="1531" w:right="1418" w:bottom="1418" w:left="1418" w:header="845" w:footer="6" w:gutter="0"/>
          <w:pgNumType w:start="1"/>
          <w:cols w:space="720"/>
          <w:noEndnote/>
          <w:docGrid w:linePitch="360"/>
        </w:sectPr>
      </w:pPr>
    </w:p>
    <w:p w:rsidR="00406037" w:rsidRDefault="00245298" w:rsidP="00406037">
      <w:pPr>
        <w:numPr>
          <w:ilvl w:val="0"/>
          <w:numId w:val="1"/>
        </w:numPr>
        <w:rPr>
          <w:b/>
          <w:bCs/>
          <w:lang w:bidi="cs-CZ"/>
        </w:rPr>
      </w:pPr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3C30A6" w:rsidRDefault="003C30A6" w:rsidP="003C30A6">
      <w:pPr>
        <w:rPr>
          <w:b/>
          <w:bCs/>
          <w:lang w:bidi="cs-CZ"/>
        </w:rPr>
      </w:pPr>
    </w:p>
    <w:p w:rsidR="00406037" w:rsidRDefault="001E5792" w:rsidP="00406037">
      <w:pPr>
        <w:rPr>
          <w:b/>
          <w:bCs/>
          <w:lang w:bidi="cs-CZ"/>
        </w:rPr>
      </w:pPr>
      <w:r>
        <w:rPr>
          <w:b/>
          <w:bCs/>
          <w:noProof/>
          <w:lang w:eastAsia="cs-CZ"/>
        </w:rPr>
        <w:drawing>
          <wp:inline distT="0" distB="0" distL="0" distR="0" wp14:anchorId="103D1027">
            <wp:extent cx="6257925" cy="5047615"/>
            <wp:effectExtent l="0" t="0" r="9525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549" cy="508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3C30A6">
      <w:pPr>
        <w:spacing w:after="0" w:line="276" w:lineRule="auto"/>
        <w:rPr>
          <w:sz w:val="18"/>
          <w:szCs w:val="18"/>
          <w:lang w:bidi="cs-CZ"/>
        </w:rPr>
      </w:pPr>
    </w:p>
    <w:p w:rsidR="00245298" w:rsidRPr="002507BF" w:rsidRDefault="00245298" w:rsidP="003C30A6">
      <w:pPr>
        <w:spacing w:after="0" w:line="276" w:lineRule="auto"/>
        <w:rPr>
          <w:sz w:val="18"/>
          <w:szCs w:val="18"/>
          <w:lang w:bidi="cs-CZ"/>
        </w:rPr>
      </w:pPr>
      <w:r w:rsidRPr="002507BF">
        <w:rPr>
          <w:sz w:val="18"/>
          <w:szCs w:val="18"/>
          <w:lang w:bidi="cs-CZ"/>
        </w:rPr>
        <w:t>* Vyobrazené logo SŽDC je pouze ilustrační a slouží jako pomůcka pro jeho umístění na výrobku.</w:t>
      </w:r>
    </w:p>
    <w:p w:rsidR="00D24806" w:rsidRDefault="00937ED8" w:rsidP="003C30A6">
      <w:pPr>
        <w:spacing w:after="0" w:line="276" w:lineRule="auto"/>
        <w:rPr>
          <w:sz w:val="18"/>
          <w:szCs w:val="18"/>
          <w:lang w:bidi="cs-CZ"/>
        </w:rPr>
      </w:pPr>
      <w:r w:rsidRPr="002507BF">
        <w:rPr>
          <w:sz w:val="18"/>
          <w:szCs w:val="18"/>
          <w:lang w:bidi="cs-CZ"/>
        </w:rPr>
        <w:t xml:space="preserve">Vyšité logo v oranžové barvě </w:t>
      </w:r>
      <w:r w:rsidR="00245298" w:rsidRPr="002507BF">
        <w:rPr>
          <w:sz w:val="18"/>
          <w:szCs w:val="18"/>
          <w:lang w:bidi="cs-CZ"/>
        </w:rPr>
        <w:t>Pantone</w:t>
      </w:r>
      <w:r w:rsidR="00D24806" w:rsidRPr="002507BF">
        <w:rPr>
          <w:sz w:val="18"/>
          <w:szCs w:val="18"/>
          <w:lang w:bidi="cs-CZ"/>
        </w:rPr>
        <w:t xml:space="preserve"> 151C/ </w:t>
      </w:r>
      <w:r w:rsidR="005F08B6" w:rsidRPr="002507BF">
        <w:rPr>
          <w:sz w:val="18"/>
          <w:szCs w:val="18"/>
          <w:lang w:bidi="cs-CZ"/>
        </w:rPr>
        <w:t>o</w:t>
      </w:r>
      <w:r w:rsidR="00D24806" w:rsidRPr="002507BF">
        <w:rPr>
          <w:sz w:val="18"/>
          <w:szCs w:val="18"/>
          <w:lang w:bidi="cs-CZ"/>
        </w:rPr>
        <w:t>ranžová nit 1333 Marathon</w:t>
      </w:r>
      <w:r w:rsidR="005F08B6" w:rsidRPr="002507BF">
        <w:rPr>
          <w:sz w:val="18"/>
          <w:szCs w:val="18"/>
          <w:lang w:bidi="cs-CZ"/>
        </w:rPr>
        <w:t>.</w:t>
      </w: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</w:pPr>
    </w:p>
    <w:p w:rsidR="003C30A6" w:rsidRDefault="003C30A6" w:rsidP="001E5792">
      <w:pPr>
        <w:spacing w:after="0" w:line="240" w:lineRule="auto"/>
        <w:rPr>
          <w:sz w:val="18"/>
          <w:szCs w:val="18"/>
          <w:lang w:bidi="cs-CZ"/>
        </w:rPr>
        <w:sectPr w:rsidR="003C30A6" w:rsidSect="003C30A6">
          <w:footerReference w:type="default" r:id="rId13"/>
          <w:pgSz w:w="11900" w:h="16840"/>
          <w:pgMar w:top="1701" w:right="1418" w:bottom="1418" w:left="1418" w:header="851" w:footer="0" w:gutter="0"/>
          <w:cols w:space="720"/>
          <w:noEndnote/>
          <w:docGrid w:linePitch="360"/>
        </w:sectPr>
      </w:pPr>
    </w:p>
    <w:p w:rsidR="00993906" w:rsidRPr="00596B4D" w:rsidRDefault="00245298" w:rsidP="00993906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</w:p>
    <w:p w:rsidR="001D68E7" w:rsidRDefault="001D68E7" w:rsidP="00993906">
      <w:pPr>
        <w:spacing w:after="0"/>
        <w:rPr>
          <w:b/>
          <w:bCs/>
          <w:lang w:bidi="cs-CZ"/>
        </w:rPr>
      </w:pPr>
    </w:p>
    <w:p w:rsidR="00406037" w:rsidRDefault="00993906" w:rsidP="00993906">
      <w:pPr>
        <w:spacing w:after="0"/>
        <w:rPr>
          <w:b/>
          <w:bCs/>
          <w:lang w:bidi="cs-CZ"/>
        </w:rPr>
      </w:pPr>
      <w:r>
        <w:rPr>
          <w:b/>
          <w:bCs/>
          <w:lang w:bidi="cs-CZ"/>
        </w:rPr>
        <w:t>Kalkulační velikost: 1</w:t>
      </w:r>
      <w:r w:rsidR="00406037">
        <w:rPr>
          <w:b/>
          <w:bCs/>
          <w:lang w:bidi="cs-CZ"/>
        </w:rPr>
        <w:t>82</w:t>
      </w:r>
      <w:r>
        <w:rPr>
          <w:b/>
          <w:bCs/>
          <w:lang w:bidi="cs-CZ"/>
        </w:rPr>
        <w:t>-104</w:t>
      </w:r>
      <w:r w:rsidR="00406037">
        <w:rPr>
          <w:b/>
          <w:bCs/>
          <w:lang w:bidi="cs-CZ"/>
        </w:rPr>
        <w:t>-94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0"/>
        <w:gridCol w:w="3520"/>
        <w:gridCol w:w="91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48"/>
      </w:tblGrid>
      <w:tr w:rsidR="00406037" w:rsidRPr="00406037" w:rsidTr="00596B4D">
        <w:trPr>
          <w:trHeight w:val="284"/>
        </w:trPr>
        <w:tc>
          <w:tcPr>
            <w:tcW w:w="660" w:type="dxa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tcBorders>
              <w:left w:val="nil"/>
            </w:tcBorders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výška postavy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  <w:hideMark/>
          </w:tcPr>
          <w:p w:rsidR="00406037" w:rsidRPr="00406037" w:rsidRDefault="00406037" w:rsidP="00EB30B3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Tol</w:t>
            </w:r>
            <w:r>
              <w:rPr>
                <w:sz w:val="18"/>
                <w:szCs w:val="18"/>
                <w:lang w:bidi="cs-CZ"/>
              </w:rPr>
              <w:t>.</w:t>
            </w:r>
            <w:r w:rsidRPr="00406037">
              <w:rPr>
                <w:sz w:val="18"/>
                <w:szCs w:val="18"/>
                <w:lang w:bidi="cs-CZ"/>
              </w:rPr>
              <w:t xml:space="preserve"> </w:t>
            </w:r>
            <w:r w:rsidR="00EB30B3">
              <w:rPr>
                <w:sz w:val="18"/>
                <w:szCs w:val="18"/>
                <w:lang w:bidi="cs-CZ"/>
              </w:rPr>
              <w:t>±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596B4D" w:rsidP="00406037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Velikost / obvod hrudníku /</w:t>
            </w:r>
            <w:r w:rsidRPr="00245298">
              <w:rPr>
                <w:sz w:val="18"/>
                <w:szCs w:val="18"/>
                <w:vertAlign w:val="superscript"/>
                <w:lang w:bidi="cs-CZ"/>
              </w:rPr>
              <w:t>1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88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92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96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100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104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108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112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116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120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124</w:t>
            </w:r>
          </w:p>
        </w:tc>
        <w:tc>
          <w:tcPr>
            <w:tcW w:w="748" w:type="dxa"/>
            <w:tcBorders>
              <w:bottom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Velikost / obvod pasu</w:t>
            </w:r>
            <w:r w:rsidR="00596B4D">
              <w:rPr>
                <w:sz w:val="18"/>
                <w:szCs w:val="18"/>
                <w:lang w:bidi="cs-CZ"/>
              </w:rPr>
              <w:t xml:space="preserve"> </w:t>
            </w:r>
            <w:r w:rsidR="00596B4D" w:rsidRPr="00245298">
              <w:rPr>
                <w:sz w:val="18"/>
                <w:szCs w:val="18"/>
                <w:lang w:bidi="cs-CZ"/>
              </w:rPr>
              <w:t>/</w:t>
            </w:r>
            <w:r w:rsidR="00596B4D" w:rsidRPr="00245298">
              <w:rPr>
                <w:sz w:val="18"/>
                <w:szCs w:val="18"/>
                <w:vertAlign w:val="superscript"/>
                <w:lang w:bidi="cs-CZ"/>
              </w:rPr>
              <w:t>1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74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78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82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88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94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100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106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112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118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124</w:t>
            </w:r>
          </w:p>
        </w:tc>
        <w:tc>
          <w:tcPr>
            <w:tcW w:w="748" w:type="dxa"/>
            <w:tcBorders>
              <w:top w:val="nil"/>
              <w:bottom w:val="nil"/>
            </w:tcBorders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tcBorders>
              <w:top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Kontrolní rozměry:</w:t>
            </w:r>
          </w:p>
        </w:tc>
        <w:tc>
          <w:tcPr>
            <w:tcW w:w="912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tcBorders>
              <w:left w:val="nil"/>
            </w:tcBorders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 w:val="restart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A</w:t>
            </w:r>
          </w:p>
        </w:tc>
        <w:tc>
          <w:tcPr>
            <w:tcW w:w="3520" w:type="dxa"/>
            <w:vMerge w:val="restart"/>
            <w:noWrap/>
            <w:vAlign w:val="center"/>
            <w:hideMark/>
          </w:tcPr>
          <w:p w:rsidR="00406037" w:rsidRPr="00406037" w:rsidRDefault="00EB30B3" w:rsidP="00406037">
            <w:pPr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Z</w:t>
            </w:r>
            <w:r w:rsidR="00406037" w:rsidRPr="00406037">
              <w:rPr>
                <w:sz w:val="18"/>
                <w:szCs w:val="18"/>
                <w:lang w:bidi="cs-CZ"/>
              </w:rPr>
              <w:t>adní délka saka</w:t>
            </w: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70,5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 w:val="restart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</w:t>
            </w:r>
            <w:r w:rsidR="00EB30B3">
              <w:rPr>
                <w:sz w:val="18"/>
                <w:szCs w:val="18"/>
                <w:lang w:bidi="cs-CZ"/>
              </w:rPr>
              <w:t>,2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72,5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74,5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76,5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78,5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 w:val="restart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B</w:t>
            </w:r>
          </w:p>
        </w:tc>
        <w:tc>
          <w:tcPr>
            <w:tcW w:w="3520" w:type="dxa"/>
            <w:vMerge w:val="restart"/>
            <w:noWrap/>
            <w:vAlign w:val="center"/>
            <w:hideMark/>
          </w:tcPr>
          <w:p w:rsidR="00406037" w:rsidRPr="00406037" w:rsidRDefault="00EB30B3" w:rsidP="00406037">
            <w:pPr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D</w:t>
            </w:r>
            <w:r w:rsidR="00406037" w:rsidRPr="00406037">
              <w:rPr>
                <w:sz w:val="18"/>
                <w:szCs w:val="18"/>
                <w:lang w:bidi="cs-CZ"/>
              </w:rPr>
              <w:t>élka rukávu</w:t>
            </w: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59,5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 w:val="restart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</w:t>
            </w:r>
            <w:r w:rsidR="00EB30B3">
              <w:rPr>
                <w:sz w:val="18"/>
                <w:szCs w:val="18"/>
                <w:lang w:bidi="cs-CZ"/>
              </w:rPr>
              <w:t>,2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61,5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63,5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65,5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67,5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 w:val="restart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C</w:t>
            </w:r>
          </w:p>
        </w:tc>
        <w:tc>
          <w:tcPr>
            <w:tcW w:w="3520" w:type="dxa"/>
            <w:vMerge w:val="restart"/>
            <w:noWrap/>
            <w:vAlign w:val="center"/>
            <w:hideMark/>
          </w:tcPr>
          <w:p w:rsidR="00406037" w:rsidRPr="00406037" w:rsidRDefault="00EB30B3" w:rsidP="00406037">
            <w:pPr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D</w:t>
            </w:r>
            <w:r w:rsidR="00406037" w:rsidRPr="00406037">
              <w:rPr>
                <w:sz w:val="18"/>
                <w:szCs w:val="18"/>
                <w:lang w:bidi="cs-CZ"/>
              </w:rPr>
              <w:t>élka rozparku</w:t>
            </w: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23,9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 w:val="restart"/>
            <w:noWrap/>
            <w:vAlign w:val="center"/>
            <w:hideMark/>
          </w:tcPr>
          <w:p w:rsidR="00406037" w:rsidRPr="00406037" w:rsidRDefault="00EB30B3" w:rsidP="00406037">
            <w:pPr>
              <w:jc w:val="center"/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0,7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24,6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25,3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182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26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vMerge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3520" w:type="dxa"/>
            <w:vMerge/>
            <w:vAlign w:val="center"/>
            <w:hideMark/>
          </w:tcPr>
          <w:p w:rsidR="00406037" w:rsidRPr="00406037" w:rsidRDefault="00406037" w:rsidP="00406037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188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26,7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D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EB30B3">
            <w:pPr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Šíř</w:t>
            </w:r>
            <w:r w:rsidR="00EB30B3">
              <w:rPr>
                <w:sz w:val="18"/>
                <w:szCs w:val="18"/>
                <w:lang w:bidi="cs-CZ"/>
              </w:rPr>
              <w:t>ka</w:t>
            </w:r>
            <w:r w:rsidRPr="00406037">
              <w:rPr>
                <w:sz w:val="18"/>
                <w:szCs w:val="18"/>
                <w:lang w:bidi="cs-CZ"/>
              </w:rPr>
              <w:t xml:space="preserve"> zadního dílu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43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46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47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49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51</w:t>
            </w:r>
          </w:p>
        </w:tc>
        <w:tc>
          <w:tcPr>
            <w:tcW w:w="748" w:type="dxa"/>
            <w:noWrap/>
            <w:vAlign w:val="center"/>
            <w:hideMark/>
          </w:tcPr>
          <w:p w:rsidR="00406037" w:rsidRPr="00406037" w:rsidRDefault="00EB30B3" w:rsidP="00406037">
            <w:pPr>
              <w:jc w:val="center"/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1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E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EB30B3" w:rsidRDefault="00EB30B3" w:rsidP="00406037">
            <w:pPr>
              <w:rPr>
                <w:sz w:val="18"/>
                <w:szCs w:val="18"/>
                <w:lang w:bidi="cs-CZ"/>
              </w:rPr>
            </w:pPr>
            <w:r w:rsidRPr="00EB30B3">
              <w:rPr>
                <w:sz w:val="18"/>
                <w:szCs w:val="18"/>
                <w:lang w:bidi="cs-CZ"/>
              </w:rPr>
              <w:t>Prsní šířka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60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70</w:t>
            </w:r>
          </w:p>
        </w:tc>
        <w:tc>
          <w:tcPr>
            <w:tcW w:w="748" w:type="dxa"/>
            <w:noWrap/>
            <w:vAlign w:val="center"/>
            <w:hideMark/>
          </w:tcPr>
          <w:p w:rsidR="00EB30B3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</w:t>
            </w:r>
            <w:r w:rsidR="00EB30B3">
              <w:rPr>
                <w:sz w:val="18"/>
                <w:szCs w:val="18"/>
                <w:lang w:bidi="cs-CZ"/>
              </w:rPr>
              <w:t>,2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F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EB30B3" w:rsidRDefault="00EB30B3" w:rsidP="00406037">
            <w:pPr>
              <w:rPr>
                <w:sz w:val="18"/>
                <w:szCs w:val="18"/>
                <w:lang w:bidi="cs-CZ"/>
              </w:rPr>
            </w:pPr>
            <w:r w:rsidRPr="00EB30B3">
              <w:rPr>
                <w:sz w:val="18"/>
                <w:szCs w:val="18"/>
                <w:lang w:bidi="cs-CZ"/>
              </w:rPr>
              <w:t>Pasová šířka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48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52,5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55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57,5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62,5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67,5</w:t>
            </w:r>
          </w:p>
        </w:tc>
        <w:tc>
          <w:tcPr>
            <w:tcW w:w="748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</w:t>
            </w:r>
            <w:r w:rsidR="00EB30B3">
              <w:rPr>
                <w:sz w:val="18"/>
                <w:szCs w:val="18"/>
                <w:lang w:bidi="cs-CZ"/>
              </w:rPr>
              <w:t>,2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EB30B3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EB30B3">
              <w:rPr>
                <w:b/>
                <w:bCs/>
                <w:sz w:val="18"/>
                <w:szCs w:val="18"/>
                <w:lang w:bidi="cs-CZ"/>
              </w:rPr>
              <w:t>G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EB30B3" w:rsidRDefault="00EB30B3" w:rsidP="00406037">
            <w:pPr>
              <w:rPr>
                <w:sz w:val="18"/>
                <w:szCs w:val="18"/>
                <w:lang w:bidi="cs-CZ"/>
              </w:rPr>
            </w:pPr>
            <w:r w:rsidRPr="00EB30B3">
              <w:rPr>
                <w:sz w:val="18"/>
                <w:szCs w:val="18"/>
                <w:lang w:bidi="cs-CZ"/>
              </w:rPr>
              <w:t>Sedová šířka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58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60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68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70</w:t>
            </w:r>
          </w:p>
        </w:tc>
        <w:tc>
          <w:tcPr>
            <w:tcW w:w="748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</w:t>
            </w:r>
            <w:r w:rsidR="00EB30B3">
              <w:rPr>
                <w:sz w:val="18"/>
                <w:szCs w:val="18"/>
                <w:lang w:bidi="cs-CZ"/>
              </w:rPr>
              <w:t>,2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H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EB30B3">
            <w:pPr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Šíř</w:t>
            </w:r>
            <w:r w:rsidR="00EB30B3">
              <w:rPr>
                <w:sz w:val="18"/>
                <w:szCs w:val="18"/>
                <w:lang w:bidi="cs-CZ"/>
              </w:rPr>
              <w:t>ka</w:t>
            </w:r>
            <w:r w:rsidRPr="00406037">
              <w:rPr>
                <w:sz w:val="18"/>
                <w:szCs w:val="18"/>
                <w:lang w:bidi="cs-CZ"/>
              </w:rPr>
              <w:t xml:space="preserve"> náramenice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14,6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14,9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15,2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15,5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15,8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16,1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16,7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17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17,3</w:t>
            </w:r>
          </w:p>
        </w:tc>
        <w:tc>
          <w:tcPr>
            <w:tcW w:w="748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0,3</w:t>
            </w:r>
          </w:p>
        </w:tc>
      </w:tr>
      <w:tr w:rsidR="00406037" w:rsidRPr="00406037" w:rsidTr="00596B4D">
        <w:trPr>
          <w:trHeight w:val="284"/>
        </w:trPr>
        <w:tc>
          <w:tcPr>
            <w:tcW w:w="660" w:type="dxa"/>
            <w:noWrap/>
            <w:vAlign w:val="center"/>
            <w:hideMark/>
          </w:tcPr>
          <w:p w:rsidR="00406037" w:rsidRPr="00406037" w:rsidRDefault="00406037" w:rsidP="00596B4D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I</w:t>
            </w:r>
          </w:p>
        </w:tc>
        <w:tc>
          <w:tcPr>
            <w:tcW w:w="3520" w:type="dxa"/>
            <w:tcBorders>
              <w:right w:val="nil"/>
            </w:tcBorders>
            <w:noWrap/>
            <w:vAlign w:val="center"/>
            <w:hideMark/>
          </w:tcPr>
          <w:p w:rsidR="00406037" w:rsidRPr="00406037" w:rsidRDefault="00406037" w:rsidP="00EB30B3">
            <w:pPr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Dolní šíř</w:t>
            </w:r>
            <w:r w:rsidR="00EB30B3">
              <w:rPr>
                <w:sz w:val="18"/>
                <w:szCs w:val="18"/>
                <w:lang w:bidi="cs-CZ"/>
              </w:rPr>
              <w:t>ka</w:t>
            </w:r>
            <w:r w:rsidRPr="00406037">
              <w:rPr>
                <w:sz w:val="18"/>
                <w:szCs w:val="18"/>
                <w:lang w:bidi="cs-CZ"/>
              </w:rPr>
              <w:t xml:space="preserve"> rukávu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14,6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14,9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15,2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15,5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406037">
              <w:rPr>
                <w:b/>
                <w:bCs/>
                <w:sz w:val="18"/>
                <w:szCs w:val="18"/>
                <w:lang w:bidi="cs-CZ"/>
              </w:rPr>
              <w:t>15,8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16,1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16,4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16,7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17</w:t>
            </w:r>
          </w:p>
        </w:tc>
        <w:tc>
          <w:tcPr>
            <w:tcW w:w="737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17,3</w:t>
            </w:r>
          </w:p>
        </w:tc>
        <w:tc>
          <w:tcPr>
            <w:tcW w:w="748" w:type="dxa"/>
            <w:noWrap/>
            <w:vAlign w:val="center"/>
            <w:hideMark/>
          </w:tcPr>
          <w:p w:rsidR="00406037" w:rsidRPr="00406037" w:rsidRDefault="00406037" w:rsidP="00406037">
            <w:pPr>
              <w:jc w:val="center"/>
              <w:rPr>
                <w:sz w:val="18"/>
                <w:szCs w:val="18"/>
                <w:lang w:bidi="cs-CZ"/>
              </w:rPr>
            </w:pPr>
            <w:r w:rsidRPr="00406037">
              <w:rPr>
                <w:sz w:val="18"/>
                <w:szCs w:val="18"/>
                <w:lang w:bidi="cs-CZ"/>
              </w:rPr>
              <w:t>0,3</w:t>
            </w:r>
          </w:p>
        </w:tc>
      </w:tr>
    </w:tbl>
    <w:p w:rsidR="00596B4D" w:rsidRDefault="00406037" w:rsidP="00AB2572">
      <w:pPr>
        <w:spacing w:after="0"/>
        <w:rPr>
          <w:sz w:val="18"/>
          <w:szCs w:val="18"/>
          <w:lang w:bidi="cs-CZ"/>
        </w:rPr>
      </w:pPr>
      <w:r w:rsidRPr="00406037">
        <w:rPr>
          <w:sz w:val="18"/>
          <w:szCs w:val="18"/>
          <w:lang w:bidi="cs-CZ"/>
        </w:rPr>
        <w:t xml:space="preserve">Všechny rozměry jsou uvedené v </w:t>
      </w:r>
      <w:r w:rsidRPr="00406037">
        <w:rPr>
          <w:b/>
          <w:bCs/>
          <w:sz w:val="18"/>
          <w:szCs w:val="18"/>
          <w:lang w:bidi="cs-CZ"/>
        </w:rPr>
        <w:t>cm</w:t>
      </w:r>
      <w:r w:rsidRPr="00406037">
        <w:rPr>
          <w:sz w:val="18"/>
          <w:szCs w:val="18"/>
          <w:lang w:bidi="cs-CZ"/>
        </w:rPr>
        <w:t xml:space="preserve">; metodika měření dle </w:t>
      </w:r>
      <w:r w:rsidRPr="00406037">
        <w:rPr>
          <w:b/>
          <w:bCs/>
          <w:sz w:val="18"/>
          <w:szCs w:val="18"/>
          <w:lang w:bidi="cs-CZ"/>
        </w:rPr>
        <w:t>ČSN 80 7040</w:t>
      </w:r>
      <w:r w:rsidRPr="00406037">
        <w:rPr>
          <w:sz w:val="18"/>
          <w:szCs w:val="18"/>
          <w:lang w:bidi="cs-CZ"/>
        </w:rPr>
        <w:t>;</w:t>
      </w:r>
    </w:p>
    <w:p w:rsidR="00596B4D" w:rsidRPr="00596B4D" w:rsidRDefault="00596B4D" w:rsidP="00AB2572">
      <w:pPr>
        <w:spacing w:after="0"/>
        <w:rPr>
          <w:sz w:val="18"/>
          <w:szCs w:val="18"/>
          <w:lang w:bidi="cs-CZ"/>
        </w:rPr>
      </w:pPr>
      <w:r>
        <w:rPr>
          <w:sz w:val="18"/>
          <w:szCs w:val="18"/>
          <w:lang w:bidi="cs-CZ"/>
        </w:rPr>
        <w:t xml:space="preserve"> </w:t>
      </w:r>
      <w:r w:rsidRPr="00937ED8">
        <w:rPr>
          <w:sz w:val="18"/>
          <w:szCs w:val="18"/>
        </w:rPr>
        <w:t>/1 - tělesný rozměr</w:t>
      </w:r>
      <w:r w:rsidRPr="00937ED8">
        <w:rPr>
          <w:sz w:val="18"/>
          <w:szCs w:val="18"/>
        </w:rPr>
        <w:tab/>
      </w:r>
    </w:p>
    <w:sectPr w:rsidR="00596B4D" w:rsidRPr="00596B4D" w:rsidSect="003C30A6">
      <w:pgSz w:w="16840" w:h="11900" w:orient="landscape"/>
      <w:pgMar w:top="1418" w:right="1701" w:bottom="1418" w:left="1418" w:header="851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4D" w:rsidRDefault="00596B4D" w:rsidP="00245298">
      <w:pPr>
        <w:spacing w:after="0" w:line="240" w:lineRule="auto"/>
      </w:pPr>
      <w:r>
        <w:separator/>
      </w:r>
    </w:p>
  </w:endnote>
  <w:endnote w:type="continuationSeparator" w:id="0">
    <w:p w:rsidR="00596B4D" w:rsidRDefault="00596B4D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B4D" w:rsidRDefault="00596B4D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4D" w:rsidRDefault="00596B4D" w:rsidP="00245298">
      <w:pPr>
        <w:spacing w:after="0" w:line="240" w:lineRule="auto"/>
      </w:pPr>
      <w:r>
        <w:separator/>
      </w:r>
    </w:p>
  </w:footnote>
  <w:footnote w:type="continuationSeparator" w:id="0">
    <w:p w:rsidR="00596B4D" w:rsidRDefault="00596B4D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B4D" w:rsidRDefault="00596B4D" w:rsidP="00406037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 xml:space="preserve">SAKO </w:t>
    </w:r>
    <w:r w:rsidRPr="000A01D0">
      <w:rPr>
        <w:b/>
        <w:lang w:bidi="cs-CZ"/>
      </w:rPr>
      <w:t>STEJNOKROJOV</w:t>
    </w:r>
    <w:r>
      <w:rPr>
        <w:b/>
        <w:lang w:bidi="cs-CZ"/>
      </w:rPr>
      <w:t>É PÁNSKÉ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2F746DB"/>
    <w:multiLevelType w:val="hybridMultilevel"/>
    <w:tmpl w:val="7F905AF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4"/>
  </w:num>
  <w:num w:numId="11">
    <w:abstractNumId w:val="8"/>
  </w:num>
  <w:num w:numId="12">
    <w:abstractNumId w:val="2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98"/>
    <w:rsid w:val="00056C00"/>
    <w:rsid w:val="00143588"/>
    <w:rsid w:val="001D68E7"/>
    <w:rsid w:val="001E5792"/>
    <w:rsid w:val="00200473"/>
    <w:rsid w:val="002125AB"/>
    <w:rsid w:val="002133FA"/>
    <w:rsid w:val="00245298"/>
    <w:rsid w:val="002507BF"/>
    <w:rsid w:val="002F537C"/>
    <w:rsid w:val="003452FF"/>
    <w:rsid w:val="00347EF0"/>
    <w:rsid w:val="003C30A6"/>
    <w:rsid w:val="00406037"/>
    <w:rsid w:val="00455A88"/>
    <w:rsid w:val="00460892"/>
    <w:rsid w:val="00461C75"/>
    <w:rsid w:val="00463422"/>
    <w:rsid w:val="004766B9"/>
    <w:rsid w:val="004C6595"/>
    <w:rsid w:val="00510C69"/>
    <w:rsid w:val="00515D69"/>
    <w:rsid w:val="0054799D"/>
    <w:rsid w:val="00596B4D"/>
    <w:rsid w:val="005F08B6"/>
    <w:rsid w:val="00831396"/>
    <w:rsid w:val="0085160A"/>
    <w:rsid w:val="008702F6"/>
    <w:rsid w:val="008A14B9"/>
    <w:rsid w:val="008C2C34"/>
    <w:rsid w:val="0092700C"/>
    <w:rsid w:val="00937ED8"/>
    <w:rsid w:val="00993906"/>
    <w:rsid w:val="009E6A54"/>
    <w:rsid w:val="009F55F8"/>
    <w:rsid w:val="00A301DB"/>
    <w:rsid w:val="00A7223F"/>
    <w:rsid w:val="00A80A5D"/>
    <w:rsid w:val="00AB118D"/>
    <w:rsid w:val="00AB2572"/>
    <w:rsid w:val="00AC6A5F"/>
    <w:rsid w:val="00AE3EE9"/>
    <w:rsid w:val="00C42385"/>
    <w:rsid w:val="00D24806"/>
    <w:rsid w:val="00D724E3"/>
    <w:rsid w:val="00D762A3"/>
    <w:rsid w:val="00D878C9"/>
    <w:rsid w:val="00D960CB"/>
    <w:rsid w:val="00DD464F"/>
    <w:rsid w:val="00DE783E"/>
    <w:rsid w:val="00E06A51"/>
    <w:rsid w:val="00E54134"/>
    <w:rsid w:val="00E77AFD"/>
    <w:rsid w:val="00EB30B3"/>
    <w:rsid w:val="00F456A3"/>
    <w:rsid w:val="00F57699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71FC11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1623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2019-07-10T08:51:00Z</dcterms:created>
  <dcterms:modified xsi:type="dcterms:W3CDTF">2019-08-06T09:18:00Z</dcterms:modified>
</cp:coreProperties>
</file>